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682A" w:rsidRDefault="00B03C38">
      <w:pPr>
        <w:spacing w:after="0" w:line="259" w:lineRule="auto"/>
        <w:ind w:left="-1419" w:right="10478" w:firstLine="0"/>
        <w:jc w:val="left"/>
      </w:pPr>
      <w:r>
        <w:rPr>
          <w:noProof/>
        </w:rPr>
        <w:drawing>
          <wp:anchor distT="0" distB="0" distL="114300" distR="114300" simplePos="0" relativeHeight="251658240" behindDoc="0" locked="0" layoutInCell="1" allowOverlap="0">
            <wp:simplePos x="0" y="0"/>
            <wp:positionH relativeFrom="page">
              <wp:posOffset>533400</wp:posOffset>
            </wp:positionH>
            <wp:positionV relativeFrom="page">
              <wp:posOffset>370114</wp:posOffset>
            </wp:positionV>
            <wp:extent cx="6444343" cy="9731829"/>
            <wp:effectExtent l="228600" t="228600" r="223520" b="231775"/>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Lst>
                    </a:blip>
                    <a:stretch>
                      <a:fillRect/>
                    </a:stretch>
                  </pic:blipFill>
                  <pic:spPr>
                    <a:xfrm>
                      <a:off x="0" y="0"/>
                      <a:ext cx="6446050" cy="9734407"/>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br w:type="page"/>
      </w:r>
    </w:p>
    <w:p w:rsidR="001C682A" w:rsidRDefault="00B03C38">
      <w:pPr>
        <w:spacing w:after="320" w:line="259" w:lineRule="auto"/>
        <w:ind w:left="0" w:firstLine="0"/>
        <w:jc w:val="left"/>
      </w:pPr>
      <w:r>
        <w:rPr>
          <w:rFonts w:ascii="Franklin Gothic Book" w:eastAsia="Franklin Gothic Book" w:hAnsi="Franklin Gothic Book" w:cs="Franklin Gothic Book"/>
          <w:sz w:val="24"/>
        </w:rPr>
        <w:lastRenderedPageBreak/>
        <w:t xml:space="preserve"> </w:t>
      </w:r>
    </w:p>
    <w:sdt>
      <w:sdtPr>
        <w:id w:val="1571458043"/>
        <w:docPartObj>
          <w:docPartGallery w:val="Table of Contents"/>
        </w:docPartObj>
      </w:sdtPr>
      <w:sdtContent>
        <w:p w:rsidR="001C682A" w:rsidRDefault="00B03C38">
          <w:pPr>
            <w:spacing w:after="28" w:line="259" w:lineRule="auto"/>
            <w:ind w:left="0" w:firstLine="0"/>
            <w:jc w:val="left"/>
          </w:pPr>
          <w:r>
            <w:rPr>
              <w:rFonts w:ascii="Century Gothic" w:eastAsia="Century Gothic" w:hAnsi="Century Gothic" w:cs="Century Gothic"/>
              <w:b/>
              <w:color w:val="365F91"/>
              <w:sz w:val="32"/>
            </w:rPr>
            <w:t xml:space="preserve">Table of Contents </w:t>
          </w:r>
        </w:p>
        <w:p w:rsidR="001C682A" w:rsidRDefault="00B03C38">
          <w:pPr>
            <w:pStyle w:val="TOC1"/>
            <w:tabs>
              <w:tab w:val="right" w:leader="dot" w:pos="9060"/>
            </w:tabs>
          </w:pPr>
          <w:r>
            <w:fldChar w:fldCharType="begin"/>
          </w:r>
          <w:r>
            <w:instrText xml:space="preserve"> TOC \o "1-5" \h \z \u </w:instrText>
          </w:r>
          <w:r>
            <w:fldChar w:fldCharType="separate"/>
          </w:r>
          <w:hyperlink w:anchor="_Toc389364">
            <w:r>
              <w:t>1.</w:t>
            </w:r>
            <w:r>
              <w:rPr>
                <w:rFonts w:ascii="Arial" w:eastAsia="Arial" w:hAnsi="Arial" w:cs="Arial"/>
                <w:b w:val="0"/>
                <w:i w:val="0"/>
                <w:sz w:val="22"/>
              </w:rPr>
              <w:t xml:space="preserve">  </w:t>
            </w:r>
            <w:r>
              <w:t>Introduction</w:t>
            </w:r>
            <w:r>
              <w:tab/>
            </w:r>
            <w:r>
              <w:fldChar w:fldCharType="begin"/>
            </w:r>
            <w:r>
              <w:instrText>PAGEREF _Toc389364 \h</w:instrText>
            </w:r>
            <w:r>
              <w:fldChar w:fldCharType="separate"/>
            </w:r>
            <w:r>
              <w:t xml:space="preserve">1 </w:t>
            </w:r>
            <w:r>
              <w:fldChar w:fldCharType="end"/>
            </w:r>
          </w:hyperlink>
        </w:p>
        <w:p w:rsidR="001C682A" w:rsidRDefault="002010BA">
          <w:pPr>
            <w:pStyle w:val="TOC2"/>
            <w:tabs>
              <w:tab w:val="right" w:leader="dot" w:pos="9060"/>
            </w:tabs>
          </w:pPr>
          <w:hyperlink w:anchor="_Toc389365">
            <w:r w:rsidR="00B03C38">
              <w:t>2.0</w:t>
            </w:r>
            <w:r w:rsidR="00B03C38">
              <w:rPr>
                <w:rFonts w:ascii="Arial" w:eastAsia="Arial" w:hAnsi="Arial" w:cs="Arial"/>
                <w:b w:val="0"/>
                <w:i w:val="0"/>
                <w:sz w:val="22"/>
              </w:rPr>
              <w:t xml:space="preserve"> </w:t>
            </w:r>
            <w:r w:rsidR="00B03C38">
              <w:t>Economic and Fiscal Outlook</w:t>
            </w:r>
            <w:r w:rsidR="00B03C38">
              <w:tab/>
            </w:r>
            <w:r w:rsidR="00B03C38">
              <w:fldChar w:fldCharType="begin"/>
            </w:r>
            <w:r w:rsidR="00B03C38">
              <w:instrText>PAGEREF _Toc389365 \h</w:instrText>
            </w:r>
            <w:r w:rsidR="00B03C38">
              <w:fldChar w:fldCharType="separate"/>
            </w:r>
            <w:r w:rsidR="00B03C38">
              <w:t xml:space="preserve">1 </w:t>
            </w:r>
            <w:r w:rsidR="00B03C38">
              <w:fldChar w:fldCharType="end"/>
            </w:r>
          </w:hyperlink>
        </w:p>
        <w:p w:rsidR="001C682A" w:rsidRDefault="002010BA">
          <w:pPr>
            <w:pStyle w:val="TOC3"/>
            <w:tabs>
              <w:tab w:val="right" w:leader="dot" w:pos="9060"/>
            </w:tabs>
          </w:pPr>
          <w:hyperlink w:anchor="_Toc389366">
            <w:r w:rsidR="00B03C38">
              <w:t>2.1</w:t>
            </w:r>
            <w:r w:rsidR="00B03C38">
              <w:rPr>
                <w:rFonts w:ascii="Arial" w:eastAsia="Arial" w:hAnsi="Arial" w:cs="Arial"/>
                <w:b w:val="0"/>
              </w:rPr>
              <w:t xml:space="preserve">  </w:t>
            </w:r>
            <w:r w:rsidR="00B03C38">
              <w:t>Global Economic Developments and Implications</w:t>
            </w:r>
            <w:r w:rsidR="00B03C38">
              <w:tab/>
            </w:r>
            <w:r w:rsidR="00B03C38">
              <w:fldChar w:fldCharType="begin"/>
            </w:r>
            <w:r w:rsidR="00B03C38">
              <w:instrText>PAGEREF _Toc389366 \h</w:instrText>
            </w:r>
            <w:r w:rsidR="00B03C38">
              <w:fldChar w:fldCharType="separate"/>
            </w:r>
            <w:r w:rsidR="00B03C38">
              <w:t xml:space="preserve">1 </w:t>
            </w:r>
            <w:r w:rsidR="00B03C38">
              <w:fldChar w:fldCharType="end"/>
            </w:r>
          </w:hyperlink>
        </w:p>
        <w:p w:rsidR="001C682A" w:rsidRDefault="002010BA">
          <w:pPr>
            <w:pStyle w:val="TOC3"/>
            <w:tabs>
              <w:tab w:val="right" w:leader="dot" w:pos="9060"/>
            </w:tabs>
          </w:pPr>
          <w:hyperlink w:anchor="_Toc389367">
            <w:r w:rsidR="00B03C38">
              <w:t>2.2</w:t>
            </w:r>
            <w:r w:rsidR="00B03C38">
              <w:rPr>
                <w:rFonts w:ascii="Arial" w:eastAsia="Arial" w:hAnsi="Arial" w:cs="Arial"/>
                <w:b w:val="0"/>
              </w:rPr>
              <w:t xml:space="preserve">  </w:t>
            </w:r>
            <w:r w:rsidR="00B03C38">
              <w:t>Macroeconomic Performance of the Nigerian Economy</w:t>
            </w:r>
            <w:r w:rsidR="00B03C38">
              <w:tab/>
            </w:r>
            <w:r w:rsidR="00B03C38">
              <w:fldChar w:fldCharType="begin"/>
            </w:r>
            <w:r w:rsidR="00B03C38">
              <w:instrText>PAGEREF _Toc389367 \h</w:instrText>
            </w:r>
            <w:r w:rsidR="00B03C38">
              <w:fldChar w:fldCharType="separate"/>
            </w:r>
            <w:r w:rsidR="00B03C38">
              <w:t xml:space="preserve">2 </w:t>
            </w:r>
            <w:r w:rsidR="00B03C38">
              <w:fldChar w:fldCharType="end"/>
            </w:r>
          </w:hyperlink>
        </w:p>
        <w:p w:rsidR="001C682A" w:rsidRDefault="002010BA">
          <w:pPr>
            <w:pStyle w:val="TOC4"/>
            <w:tabs>
              <w:tab w:val="right" w:leader="dot" w:pos="9060"/>
            </w:tabs>
          </w:pPr>
          <w:hyperlink w:anchor="_Toc389368">
            <w:r w:rsidR="00B03C38">
              <w:t>2.2.1</w:t>
            </w:r>
            <w:r w:rsidR="00B03C38">
              <w:rPr>
                <w:rFonts w:ascii="Arial" w:eastAsia="Arial" w:hAnsi="Arial" w:cs="Arial"/>
                <w:sz w:val="22"/>
              </w:rPr>
              <w:t xml:space="preserve"> </w:t>
            </w:r>
            <w:r w:rsidR="00B03C38">
              <w:t>Real Sector</w:t>
            </w:r>
            <w:r w:rsidR="00B03C38">
              <w:tab/>
            </w:r>
            <w:r w:rsidR="00B03C38">
              <w:fldChar w:fldCharType="begin"/>
            </w:r>
            <w:r w:rsidR="00B03C38">
              <w:instrText>PAGEREF _Toc389368 \h</w:instrText>
            </w:r>
            <w:r w:rsidR="00B03C38">
              <w:fldChar w:fldCharType="separate"/>
            </w:r>
            <w:r w:rsidR="00B03C38">
              <w:t xml:space="preserve">3 </w:t>
            </w:r>
            <w:r w:rsidR="00B03C38">
              <w:fldChar w:fldCharType="end"/>
            </w:r>
          </w:hyperlink>
        </w:p>
        <w:p w:rsidR="001C682A" w:rsidRDefault="002010BA">
          <w:pPr>
            <w:pStyle w:val="TOC5"/>
            <w:tabs>
              <w:tab w:val="right" w:leader="dot" w:pos="9060"/>
            </w:tabs>
          </w:pPr>
          <w:hyperlink w:anchor="_Toc389369">
            <w:r w:rsidR="00B03C38">
              <w:t>(a)</w:t>
            </w:r>
            <w:r w:rsidR="00B03C38">
              <w:rPr>
                <w:rFonts w:ascii="Arial" w:eastAsia="Arial" w:hAnsi="Arial" w:cs="Arial"/>
                <w:sz w:val="22"/>
              </w:rPr>
              <w:t xml:space="preserve"> </w:t>
            </w:r>
            <w:r w:rsidR="00B03C38">
              <w:t>GDP growth and Sectoral Performance</w:t>
            </w:r>
            <w:r w:rsidR="00B03C38">
              <w:tab/>
            </w:r>
            <w:r w:rsidR="00B03C38">
              <w:fldChar w:fldCharType="begin"/>
            </w:r>
            <w:r w:rsidR="00B03C38">
              <w:instrText>PAGEREF _Toc389369 \h</w:instrText>
            </w:r>
            <w:r w:rsidR="00B03C38">
              <w:fldChar w:fldCharType="separate"/>
            </w:r>
            <w:r w:rsidR="00B03C38">
              <w:t xml:space="preserve">3 </w:t>
            </w:r>
            <w:r w:rsidR="00B03C38">
              <w:fldChar w:fldCharType="end"/>
            </w:r>
          </w:hyperlink>
        </w:p>
        <w:p w:rsidR="001C682A" w:rsidRDefault="002010BA">
          <w:pPr>
            <w:pStyle w:val="TOC5"/>
            <w:tabs>
              <w:tab w:val="right" w:leader="dot" w:pos="9060"/>
            </w:tabs>
          </w:pPr>
          <w:hyperlink w:anchor="_Toc389370">
            <w:r w:rsidR="00B03C38">
              <w:t>(b)</w:t>
            </w:r>
            <w:r w:rsidR="00B03C38">
              <w:rPr>
                <w:rFonts w:ascii="Arial" w:eastAsia="Arial" w:hAnsi="Arial" w:cs="Arial"/>
                <w:sz w:val="22"/>
              </w:rPr>
              <w:t xml:space="preserve">  </w:t>
            </w:r>
            <w:r w:rsidR="00B03C38">
              <w:t>Unemployment and Underemployment</w:t>
            </w:r>
            <w:r w:rsidR="00B03C38">
              <w:tab/>
            </w:r>
            <w:r w:rsidR="00B03C38">
              <w:fldChar w:fldCharType="begin"/>
            </w:r>
            <w:r w:rsidR="00B03C38">
              <w:instrText>PAGEREF _Toc389370 \h</w:instrText>
            </w:r>
            <w:r w:rsidR="00B03C38">
              <w:fldChar w:fldCharType="separate"/>
            </w:r>
            <w:r w:rsidR="00B03C38">
              <w:t xml:space="preserve">4 </w:t>
            </w:r>
            <w:r w:rsidR="00B03C38">
              <w:fldChar w:fldCharType="end"/>
            </w:r>
          </w:hyperlink>
        </w:p>
        <w:p w:rsidR="001C682A" w:rsidRDefault="002010BA">
          <w:pPr>
            <w:pStyle w:val="TOC4"/>
            <w:tabs>
              <w:tab w:val="right" w:leader="dot" w:pos="9060"/>
            </w:tabs>
          </w:pPr>
          <w:hyperlink w:anchor="_Toc389371">
            <w:r w:rsidR="00B03C38">
              <w:t>2.2.2</w:t>
            </w:r>
            <w:r w:rsidR="00B03C38">
              <w:rPr>
                <w:rFonts w:ascii="Arial" w:eastAsia="Arial" w:hAnsi="Arial" w:cs="Arial"/>
                <w:sz w:val="22"/>
              </w:rPr>
              <w:t xml:space="preserve"> </w:t>
            </w:r>
            <w:r w:rsidR="00B03C38">
              <w:t>Monetary Sector</w:t>
            </w:r>
            <w:r w:rsidR="00B03C38">
              <w:tab/>
            </w:r>
            <w:r w:rsidR="00B03C38">
              <w:fldChar w:fldCharType="begin"/>
            </w:r>
            <w:r w:rsidR="00B03C38">
              <w:instrText>PAGEREF _Toc389371 \h</w:instrText>
            </w:r>
            <w:r w:rsidR="00B03C38">
              <w:fldChar w:fldCharType="separate"/>
            </w:r>
            <w:r w:rsidR="00B03C38">
              <w:t xml:space="preserve">4 </w:t>
            </w:r>
            <w:r w:rsidR="00B03C38">
              <w:fldChar w:fldCharType="end"/>
            </w:r>
          </w:hyperlink>
        </w:p>
        <w:p w:rsidR="001C682A" w:rsidRDefault="002010BA">
          <w:pPr>
            <w:pStyle w:val="TOC5"/>
            <w:tabs>
              <w:tab w:val="right" w:leader="dot" w:pos="9060"/>
            </w:tabs>
          </w:pPr>
          <w:hyperlink w:anchor="_Toc389372">
            <w:r w:rsidR="00B03C38">
              <w:t>(a)</w:t>
            </w:r>
            <w:r w:rsidR="00B03C38">
              <w:rPr>
                <w:rFonts w:ascii="Arial" w:eastAsia="Arial" w:hAnsi="Arial" w:cs="Arial"/>
                <w:sz w:val="22"/>
              </w:rPr>
              <w:t xml:space="preserve"> </w:t>
            </w:r>
            <w:r w:rsidR="00B03C38">
              <w:t>Inflation</w:t>
            </w:r>
            <w:r w:rsidR="00B03C38">
              <w:tab/>
            </w:r>
            <w:r w:rsidR="00B03C38">
              <w:fldChar w:fldCharType="begin"/>
            </w:r>
            <w:r w:rsidR="00B03C38">
              <w:instrText>PAGEREF _Toc389372 \h</w:instrText>
            </w:r>
            <w:r w:rsidR="00B03C38">
              <w:fldChar w:fldCharType="separate"/>
            </w:r>
            <w:r w:rsidR="00B03C38">
              <w:t xml:space="preserve">4 </w:t>
            </w:r>
            <w:r w:rsidR="00B03C38">
              <w:fldChar w:fldCharType="end"/>
            </w:r>
          </w:hyperlink>
        </w:p>
        <w:p w:rsidR="001C682A" w:rsidRDefault="002010BA">
          <w:pPr>
            <w:pStyle w:val="TOC5"/>
            <w:tabs>
              <w:tab w:val="right" w:leader="dot" w:pos="9060"/>
            </w:tabs>
          </w:pPr>
          <w:hyperlink w:anchor="_Toc389373">
            <w:r w:rsidR="00B03C38">
              <w:t>(b)</w:t>
            </w:r>
            <w:r w:rsidR="00B03C38">
              <w:rPr>
                <w:rFonts w:ascii="Arial" w:eastAsia="Arial" w:hAnsi="Arial" w:cs="Arial"/>
                <w:sz w:val="22"/>
              </w:rPr>
              <w:t xml:space="preserve">  </w:t>
            </w:r>
            <w:r w:rsidR="00B03C38">
              <w:t>Interest Rate</w:t>
            </w:r>
            <w:r w:rsidR="00B03C38">
              <w:tab/>
            </w:r>
            <w:r w:rsidR="00B03C38">
              <w:fldChar w:fldCharType="begin"/>
            </w:r>
            <w:r w:rsidR="00B03C38">
              <w:instrText>PAGEREF _Toc389373 \h</w:instrText>
            </w:r>
            <w:r w:rsidR="00B03C38">
              <w:fldChar w:fldCharType="separate"/>
            </w:r>
            <w:r w:rsidR="00B03C38">
              <w:t xml:space="preserve">4 </w:t>
            </w:r>
            <w:r w:rsidR="00B03C38">
              <w:fldChar w:fldCharType="end"/>
            </w:r>
          </w:hyperlink>
        </w:p>
        <w:p w:rsidR="001C682A" w:rsidRDefault="002010BA">
          <w:pPr>
            <w:pStyle w:val="TOC4"/>
            <w:tabs>
              <w:tab w:val="right" w:leader="dot" w:pos="9060"/>
            </w:tabs>
          </w:pPr>
          <w:hyperlink w:anchor="_Toc389374">
            <w:r w:rsidR="00B03C38">
              <w:t>2.2.3</w:t>
            </w:r>
            <w:r w:rsidR="00B03C38">
              <w:rPr>
                <w:rFonts w:ascii="Arial" w:eastAsia="Arial" w:hAnsi="Arial" w:cs="Arial"/>
                <w:sz w:val="22"/>
              </w:rPr>
              <w:t xml:space="preserve">  </w:t>
            </w:r>
            <w:r w:rsidR="00B03C38">
              <w:t>Fiscal Sector</w:t>
            </w:r>
            <w:r w:rsidR="00B03C38">
              <w:tab/>
            </w:r>
            <w:r w:rsidR="00B03C38">
              <w:fldChar w:fldCharType="begin"/>
            </w:r>
            <w:r w:rsidR="00B03C38">
              <w:instrText>PAGEREF _Toc389374 \h</w:instrText>
            </w:r>
            <w:r w:rsidR="00B03C38">
              <w:fldChar w:fldCharType="separate"/>
            </w:r>
            <w:r w:rsidR="00B03C38">
              <w:t xml:space="preserve">5 </w:t>
            </w:r>
            <w:r w:rsidR="00B03C38">
              <w:fldChar w:fldCharType="end"/>
            </w:r>
          </w:hyperlink>
        </w:p>
        <w:p w:rsidR="001C682A" w:rsidRDefault="002010BA">
          <w:pPr>
            <w:pStyle w:val="TOC4"/>
            <w:tabs>
              <w:tab w:val="right" w:leader="dot" w:pos="9060"/>
            </w:tabs>
          </w:pPr>
          <w:hyperlink w:anchor="_Toc389375">
            <w:r w:rsidR="00B03C38">
              <w:t>2.2.4</w:t>
            </w:r>
            <w:r w:rsidR="00B03C38">
              <w:rPr>
                <w:rFonts w:ascii="Arial" w:eastAsia="Arial" w:hAnsi="Arial" w:cs="Arial"/>
                <w:sz w:val="22"/>
              </w:rPr>
              <w:t xml:space="preserve"> </w:t>
            </w:r>
            <w:r w:rsidR="00B03C38">
              <w:t>External Sector</w:t>
            </w:r>
            <w:r w:rsidR="00B03C38">
              <w:tab/>
            </w:r>
            <w:r w:rsidR="00B03C38">
              <w:fldChar w:fldCharType="begin"/>
            </w:r>
            <w:r w:rsidR="00B03C38">
              <w:instrText>PAGEREF _Toc389375 \h</w:instrText>
            </w:r>
            <w:r w:rsidR="00B03C38">
              <w:fldChar w:fldCharType="separate"/>
            </w:r>
            <w:r w:rsidR="00B03C38">
              <w:t xml:space="preserve">6 </w:t>
            </w:r>
            <w:r w:rsidR="00B03C38">
              <w:fldChar w:fldCharType="end"/>
            </w:r>
          </w:hyperlink>
        </w:p>
        <w:p w:rsidR="001C682A" w:rsidRDefault="002010BA">
          <w:pPr>
            <w:pStyle w:val="TOC5"/>
            <w:tabs>
              <w:tab w:val="right" w:leader="dot" w:pos="9060"/>
            </w:tabs>
          </w:pPr>
          <w:hyperlink w:anchor="_Toc389376">
            <w:r w:rsidR="00B03C38">
              <w:t>(a)</w:t>
            </w:r>
            <w:r w:rsidR="00B03C38">
              <w:rPr>
                <w:rFonts w:ascii="Arial" w:eastAsia="Arial" w:hAnsi="Arial" w:cs="Arial"/>
                <w:sz w:val="22"/>
              </w:rPr>
              <w:t xml:space="preserve"> </w:t>
            </w:r>
            <w:r w:rsidR="00B03C38">
              <w:t>Trade</w:t>
            </w:r>
            <w:r w:rsidR="00B03C38">
              <w:tab/>
            </w:r>
            <w:r w:rsidR="00B03C38">
              <w:fldChar w:fldCharType="begin"/>
            </w:r>
            <w:r w:rsidR="00B03C38">
              <w:instrText>PAGEREF _Toc389376 \h</w:instrText>
            </w:r>
            <w:r w:rsidR="00B03C38">
              <w:fldChar w:fldCharType="separate"/>
            </w:r>
            <w:r w:rsidR="00B03C38">
              <w:t xml:space="preserve">6 </w:t>
            </w:r>
            <w:r w:rsidR="00B03C38">
              <w:fldChar w:fldCharType="end"/>
            </w:r>
          </w:hyperlink>
        </w:p>
        <w:p w:rsidR="001C682A" w:rsidRDefault="002010BA">
          <w:pPr>
            <w:pStyle w:val="TOC5"/>
            <w:tabs>
              <w:tab w:val="right" w:leader="dot" w:pos="9060"/>
            </w:tabs>
          </w:pPr>
          <w:hyperlink w:anchor="_Toc389377">
            <w:r w:rsidR="00B03C38">
              <w:t>(b) External Reserves and Capital Flows</w:t>
            </w:r>
            <w:r w:rsidR="00B03C38">
              <w:tab/>
            </w:r>
            <w:r w:rsidR="00B03C38">
              <w:fldChar w:fldCharType="begin"/>
            </w:r>
            <w:r w:rsidR="00B03C38">
              <w:instrText>PAGEREF _Toc389377 \h</w:instrText>
            </w:r>
            <w:r w:rsidR="00B03C38">
              <w:fldChar w:fldCharType="separate"/>
            </w:r>
            <w:r w:rsidR="00B03C38">
              <w:t xml:space="preserve">6 </w:t>
            </w:r>
            <w:r w:rsidR="00B03C38">
              <w:fldChar w:fldCharType="end"/>
            </w:r>
          </w:hyperlink>
        </w:p>
        <w:p w:rsidR="001C682A" w:rsidRDefault="002010BA">
          <w:pPr>
            <w:pStyle w:val="TOC4"/>
            <w:tabs>
              <w:tab w:val="right" w:leader="dot" w:pos="9060"/>
            </w:tabs>
          </w:pPr>
          <w:hyperlink w:anchor="_Toc389378">
            <w:r w:rsidR="00B03C38">
              <w:t>2.2.5</w:t>
            </w:r>
            <w:r w:rsidR="00B03C38">
              <w:rPr>
                <w:rFonts w:ascii="Arial" w:eastAsia="Arial" w:hAnsi="Arial" w:cs="Arial"/>
                <w:sz w:val="22"/>
              </w:rPr>
              <w:t xml:space="preserve"> </w:t>
            </w:r>
            <w:r w:rsidR="00B03C38">
              <w:t>Tax Expenditure Statement</w:t>
            </w:r>
            <w:r w:rsidR="00B03C38">
              <w:tab/>
            </w:r>
            <w:r w:rsidR="00B03C38">
              <w:fldChar w:fldCharType="begin"/>
            </w:r>
            <w:r w:rsidR="00B03C38">
              <w:instrText>PAGEREF _Toc389378 \h</w:instrText>
            </w:r>
            <w:r w:rsidR="00B03C38">
              <w:fldChar w:fldCharType="separate"/>
            </w:r>
            <w:r w:rsidR="00B03C38">
              <w:t xml:space="preserve">7 </w:t>
            </w:r>
            <w:r w:rsidR="00B03C38">
              <w:fldChar w:fldCharType="end"/>
            </w:r>
          </w:hyperlink>
        </w:p>
        <w:p w:rsidR="001C682A" w:rsidRDefault="002010BA">
          <w:pPr>
            <w:pStyle w:val="TOC2"/>
            <w:tabs>
              <w:tab w:val="right" w:leader="dot" w:pos="9060"/>
            </w:tabs>
          </w:pPr>
          <w:hyperlink w:anchor="_Toc389379">
            <w:r w:rsidR="00B03C38">
              <w:t>3.0</w:t>
            </w:r>
            <w:r w:rsidR="00B03C38">
              <w:rPr>
                <w:rFonts w:ascii="Arial" w:eastAsia="Arial" w:hAnsi="Arial" w:cs="Arial"/>
                <w:b w:val="0"/>
                <w:i w:val="0"/>
                <w:sz w:val="22"/>
              </w:rPr>
              <w:t xml:space="preserve"> </w:t>
            </w:r>
            <w:r w:rsidR="00B03C38">
              <w:t>Review of 2019 Budget Performance</w:t>
            </w:r>
            <w:r w:rsidR="00B03C38">
              <w:tab/>
            </w:r>
            <w:r w:rsidR="00B03C38">
              <w:fldChar w:fldCharType="begin"/>
            </w:r>
            <w:r w:rsidR="00B03C38">
              <w:instrText>PAGEREF _Toc389379 \h</w:instrText>
            </w:r>
            <w:r w:rsidR="00B03C38">
              <w:fldChar w:fldCharType="separate"/>
            </w:r>
            <w:r w:rsidR="00B03C38">
              <w:t xml:space="preserve">7 </w:t>
            </w:r>
            <w:r w:rsidR="00B03C38">
              <w:fldChar w:fldCharType="end"/>
            </w:r>
          </w:hyperlink>
        </w:p>
        <w:p w:rsidR="001C682A" w:rsidRDefault="002010BA">
          <w:pPr>
            <w:pStyle w:val="TOC3"/>
            <w:tabs>
              <w:tab w:val="right" w:leader="dot" w:pos="9060"/>
            </w:tabs>
          </w:pPr>
          <w:hyperlink w:anchor="_Toc389380">
            <w:r w:rsidR="00B03C38">
              <w:t>3.1</w:t>
            </w:r>
            <w:r w:rsidR="00B03C38">
              <w:rPr>
                <w:rFonts w:ascii="Arial" w:eastAsia="Arial" w:hAnsi="Arial" w:cs="Arial"/>
                <w:b w:val="0"/>
              </w:rPr>
              <w:t xml:space="preserve">  </w:t>
            </w:r>
            <w:r w:rsidR="00B03C38">
              <w:t>Revenue Outturns</w:t>
            </w:r>
            <w:r w:rsidR="00B03C38">
              <w:tab/>
            </w:r>
            <w:r w:rsidR="00B03C38">
              <w:fldChar w:fldCharType="begin"/>
            </w:r>
            <w:r w:rsidR="00B03C38">
              <w:instrText>PAGEREF _Toc389380 \h</w:instrText>
            </w:r>
            <w:r w:rsidR="00B03C38">
              <w:fldChar w:fldCharType="separate"/>
            </w:r>
            <w:r w:rsidR="00B03C38">
              <w:t xml:space="preserve">8 </w:t>
            </w:r>
            <w:r w:rsidR="00B03C38">
              <w:fldChar w:fldCharType="end"/>
            </w:r>
          </w:hyperlink>
        </w:p>
        <w:p w:rsidR="001C682A" w:rsidRDefault="002010BA">
          <w:pPr>
            <w:pStyle w:val="TOC5"/>
            <w:tabs>
              <w:tab w:val="right" w:leader="dot" w:pos="9060"/>
            </w:tabs>
          </w:pPr>
          <w:hyperlink w:anchor="_Toc389381">
            <w:r w:rsidR="00B03C38">
              <w:t>3.1.1 Oil Revenue</w:t>
            </w:r>
            <w:r w:rsidR="00B03C38">
              <w:tab/>
            </w:r>
            <w:r w:rsidR="00B03C38">
              <w:fldChar w:fldCharType="begin"/>
            </w:r>
            <w:r w:rsidR="00B03C38">
              <w:instrText>PAGEREF _Toc389381 \h</w:instrText>
            </w:r>
            <w:r w:rsidR="00B03C38">
              <w:fldChar w:fldCharType="separate"/>
            </w:r>
            <w:r w:rsidR="00B03C38">
              <w:t xml:space="preserve">8 </w:t>
            </w:r>
            <w:r w:rsidR="00B03C38">
              <w:fldChar w:fldCharType="end"/>
            </w:r>
          </w:hyperlink>
        </w:p>
        <w:p w:rsidR="001C682A" w:rsidRDefault="002010BA">
          <w:pPr>
            <w:pStyle w:val="TOC5"/>
            <w:tabs>
              <w:tab w:val="right" w:leader="dot" w:pos="9060"/>
            </w:tabs>
          </w:pPr>
          <w:hyperlink w:anchor="_Toc389382">
            <w:r w:rsidR="00B03C38">
              <w:t>3.1.2 Non-Oil Revenue</w:t>
            </w:r>
            <w:r w:rsidR="00B03C38">
              <w:tab/>
            </w:r>
            <w:r w:rsidR="00B03C38">
              <w:fldChar w:fldCharType="begin"/>
            </w:r>
            <w:r w:rsidR="00B03C38">
              <w:instrText>PAGEREF _Toc389382 \h</w:instrText>
            </w:r>
            <w:r w:rsidR="00B03C38">
              <w:fldChar w:fldCharType="separate"/>
            </w:r>
            <w:r w:rsidR="00B03C38">
              <w:t xml:space="preserve">8 </w:t>
            </w:r>
            <w:r w:rsidR="00B03C38">
              <w:fldChar w:fldCharType="end"/>
            </w:r>
          </w:hyperlink>
        </w:p>
        <w:p w:rsidR="001C682A" w:rsidRDefault="002010BA">
          <w:pPr>
            <w:pStyle w:val="TOC5"/>
            <w:tabs>
              <w:tab w:val="right" w:leader="dot" w:pos="9060"/>
            </w:tabs>
          </w:pPr>
          <w:hyperlink w:anchor="_Toc389383">
            <w:r w:rsidR="00B03C38">
              <w:t>3.1.3 Main Federation Account Pool and VAT Pool Accounts Distributable</w:t>
            </w:r>
            <w:r w:rsidR="00B03C38">
              <w:tab/>
            </w:r>
            <w:r w:rsidR="00B03C38">
              <w:fldChar w:fldCharType="begin"/>
            </w:r>
            <w:r w:rsidR="00B03C38">
              <w:instrText>PAGEREF _Toc389383 \h</w:instrText>
            </w:r>
            <w:r w:rsidR="00B03C38">
              <w:fldChar w:fldCharType="separate"/>
            </w:r>
            <w:r w:rsidR="00B03C38">
              <w:t xml:space="preserve">8 </w:t>
            </w:r>
            <w:r w:rsidR="00B03C38">
              <w:fldChar w:fldCharType="end"/>
            </w:r>
          </w:hyperlink>
        </w:p>
        <w:p w:rsidR="001C682A" w:rsidRDefault="002010BA">
          <w:pPr>
            <w:pStyle w:val="TOC5"/>
            <w:tabs>
              <w:tab w:val="right" w:leader="dot" w:pos="9060"/>
            </w:tabs>
          </w:pPr>
          <w:hyperlink w:anchor="_Toc389384">
            <w:r w:rsidR="00B03C38">
              <w:t>3.1.4 FGN Revenue</w:t>
            </w:r>
            <w:r w:rsidR="00B03C38">
              <w:tab/>
            </w:r>
            <w:r w:rsidR="00B03C38">
              <w:fldChar w:fldCharType="begin"/>
            </w:r>
            <w:r w:rsidR="00B03C38">
              <w:instrText>PAGEREF _Toc389384 \h</w:instrText>
            </w:r>
            <w:r w:rsidR="00B03C38">
              <w:fldChar w:fldCharType="separate"/>
            </w:r>
            <w:r w:rsidR="00B03C38">
              <w:t xml:space="preserve">9 </w:t>
            </w:r>
            <w:r w:rsidR="00B03C38">
              <w:fldChar w:fldCharType="end"/>
            </w:r>
          </w:hyperlink>
        </w:p>
        <w:p w:rsidR="001C682A" w:rsidRDefault="002010BA">
          <w:pPr>
            <w:pStyle w:val="TOC3"/>
            <w:tabs>
              <w:tab w:val="right" w:leader="dot" w:pos="9060"/>
            </w:tabs>
          </w:pPr>
          <w:hyperlink w:anchor="_Toc389385">
            <w:r w:rsidR="00B03C38">
              <w:rPr>
                <w:rFonts w:ascii="Arial" w:eastAsia="Arial" w:hAnsi="Arial" w:cs="Arial"/>
              </w:rPr>
              <w:t>3.2</w:t>
            </w:r>
            <w:r w:rsidR="00B03C38">
              <w:rPr>
                <w:rFonts w:ascii="Arial" w:eastAsia="Arial" w:hAnsi="Arial" w:cs="Arial"/>
                <w:b w:val="0"/>
              </w:rPr>
              <w:t xml:space="preserve">  </w:t>
            </w:r>
            <w:r w:rsidR="00B03C38">
              <w:rPr>
                <w:rFonts w:ascii="Arial" w:eastAsia="Arial" w:hAnsi="Arial" w:cs="Arial"/>
              </w:rPr>
              <w:t>Expenditure Outturns</w:t>
            </w:r>
            <w:r w:rsidR="00B03C38">
              <w:tab/>
            </w:r>
            <w:r w:rsidR="00B03C38">
              <w:fldChar w:fldCharType="begin"/>
            </w:r>
            <w:r w:rsidR="00B03C38">
              <w:instrText>PAGEREF _Toc389385 \h</w:instrText>
            </w:r>
            <w:r w:rsidR="00B03C38">
              <w:fldChar w:fldCharType="separate"/>
            </w:r>
            <w:r w:rsidR="00B03C38">
              <w:t xml:space="preserve">9 </w:t>
            </w:r>
            <w:r w:rsidR="00B03C38">
              <w:fldChar w:fldCharType="end"/>
            </w:r>
          </w:hyperlink>
        </w:p>
        <w:p w:rsidR="001C682A" w:rsidRDefault="002010BA">
          <w:pPr>
            <w:pStyle w:val="TOC2"/>
            <w:tabs>
              <w:tab w:val="right" w:leader="dot" w:pos="9060"/>
            </w:tabs>
          </w:pPr>
          <w:hyperlink w:anchor="_Toc389386">
            <w:r w:rsidR="00B03C38">
              <w:t>4.0</w:t>
            </w:r>
            <w:r w:rsidR="00B03C38">
              <w:rPr>
                <w:rFonts w:ascii="Arial" w:eastAsia="Arial" w:hAnsi="Arial" w:cs="Arial"/>
                <w:b w:val="0"/>
                <w:i w:val="0"/>
                <w:sz w:val="22"/>
              </w:rPr>
              <w:t xml:space="preserve"> </w:t>
            </w:r>
            <w:r w:rsidR="00B03C38">
              <w:t>Review of 2020 Budget Implementation</w:t>
            </w:r>
            <w:r w:rsidR="00B03C38">
              <w:tab/>
            </w:r>
            <w:r w:rsidR="00B03C38">
              <w:fldChar w:fldCharType="begin"/>
            </w:r>
            <w:r w:rsidR="00B03C38">
              <w:instrText>PAGEREF _Toc389386 \h</w:instrText>
            </w:r>
            <w:r w:rsidR="00B03C38">
              <w:fldChar w:fldCharType="separate"/>
            </w:r>
            <w:r w:rsidR="00B03C38">
              <w:t xml:space="preserve">10 </w:t>
            </w:r>
            <w:r w:rsidR="00B03C38">
              <w:fldChar w:fldCharType="end"/>
            </w:r>
          </w:hyperlink>
        </w:p>
        <w:p w:rsidR="001C682A" w:rsidRDefault="002010BA">
          <w:pPr>
            <w:pStyle w:val="TOC3"/>
            <w:tabs>
              <w:tab w:val="right" w:leader="dot" w:pos="9060"/>
            </w:tabs>
          </w:pPr>
          <w:hyperlink w:anchor="_Toc389387">
            <w:r w:rsidR="00B03C38">
              <w:rPr>
                <w:rFonts w:ascii="Arial" w:eastAsia="Arial" w:hAnsi="Arial" w:cs="Arial"/>
              </w:rPr>
              <w:t>4.1</w:t>
            </w:r>
            <w:r w:rsidR="00B03C38">
              <w:rPr>
                <w:rFonts w:ascii="Arial" w:eastAsia="Arial" w:hAnsi="Arial" w:cs="Arial"/>
                <w:b w:val="0"/>
              </w:rPr>
              <w:t xml:space="preserve">  </w:t>
            </w:r>
            <w:r w:rsidR="00B03C38">
              <w:rPr>
                <w:rFonts w:ascii="Arial" w:eastAsia="Arial" w:hAnsi="Arial" w:cs="Arial"/>
              </w:rPr>
              <w:t>Revenue Outturns</w:t>
            </w:r>
            <w:r w:rsidR="00B03C38">
              <w:tab/>
            </w:r>
            <w:r w:rsidR="00B03C38">
              <w:fldChar w:fldCharType="begin"/>
            </w:r>
            <w:r w:rsidR="00B03C38">
              <w:instrText>PAGEREF _Toc389387 \h</w:instrText>
            </w:r>
            <w:r w:rsidR="00B03C38">
              <w:fldChar w:fldCharType="separate"/>
            </w:r>
            <w:r w:rsidR="00B03C38">
              <w:t xml:space="preserve">10 </w:t>
            </w:r>
            <w:r w:rsidR="00B03C38">
              <w:fldChar w:fldCharType="end"/>
            </w:r>
          </w:hyperlink>
        </w:p>
        <w:p w:rsidR="001C682A" w:rsidRDefault="002010BA">
          <w:pPr>
            <w:pStyle w:val="TOC5"/>
            <w:tabs>
              <w:tab w:val="right" w:leader="dot" w:pos="9060"/>
            </w:tabs>
          </w:pPr>
          <w:hyperlink w:anchor="_Toc389388">
            <w:r w:rsidR="00B03C38">
              <w:t>4.1.1 Oil Revenue</w:t>
            </w:r>
            <w:r w:rsidR="00B03C38">
              <w:tab/>
            </w:r>
            <w:r w:rsidR="00B03C38">
              <w:fldChar w:fldCharType="begin"/>
            </w:r>
            <w:r w:rsidR="00B03C38">
              <w:instrText>PAGEREF _Toc389388 \h</w:instrText>
            </w:r>
            <w:r w:rsidR="00B03C38">
              <w:fldChar w:fldCharType="separate"/>
            </w:r>
            <w:r w:rsidR="00B03C38">
              <w:t xml:space="preserve">10 </w:t>
            </w:r>
            <w:r w:rsidR="00B03C38">
              <w:fldChar w:fldCharType="end"/>
            </w:r>
          </w:hyperlink>
        </w:p>
        <w:p w:rsidR="001C682A" w:rsidRDefault="002010BA">
          <w:pPr>
            <w:pStyle w:val="TOC5"/>
            <w:tabs>
              <w:tab w:val="right" w:leader="dot" w:pos="9060"/>
            </w:tabs>
          </w:pPr>
          <w:hyperlink w:anchor="_Toc389389">
            <w:r w:rsidR="00B03C38">
              <w:t>4.1.2 Federation and VAT Pool Accounts Distributable</w:t>
            </w:r>
            <w:r w:rsidR="00B03C38">
              <w:tab/>
            </w:r>
            <w:r w:rsidR="00B03C38">
              <w:fldChar w:fldCharType="begin"/>
            </w:r>
            <w:r w:rsidR="00B03C38">
              <w:instrText>PAGEREF _Toc389389 \h</w:instrText>
            </w:r>
            <w:r w:rsidR="00B03C38">
              <w:fldChar w:fldCharType="separate"/>
            </w:r>
            <w:r w:rsidR="00B03C38">
              <w:t xml:space="preserve">10 </w:t>
            </w:r>
            <w:r w:rsidR="00B03C38">
              <w:fldChar w:fldCharType="end"/>
            </w:r>
          </w:hyperlink>
        </w:p>
        <w:p w:rsidR="001C682A" w:rsidRDefault="002010BA">
          <w:pPr>
            <w:pStyle w:val="TOC5"/>
            <w:tabs>
              <w:tab w:val="right" w:leader="dot" w:pos="9060"/>
            </w:tabs>
          </w:pPr>
          <w:hyperlink w:anchor="_Toc389390">
            <w:r w:rsidR="00B03C38">
              <w:t>4.1.3 FGN Revenue</w:t>
            </w:r>
            <w:r w:rsidR="00B03C38">
              <w:tab/>
            </w:r>
            <w:r w:rsidR="00B03C38">
              <w:fldChar w:fldCharType="begin"/>
            </w:r>
            <w:r w:rsidR="00B03C38">
              <w:instrText>PAGEREF _Toc389390 \h</w:instrText>
            </w:r>
            <w:r w:rsidR="00B03C38">
              <w:fldChar w:fldCharType="separate"/>
            </w:r>
            <w:r w:rsidR="00B03C38">
              <w:t xml:space="preserve">11 </w:t>
            </w:r>
            <w:r w:rsidR="00B03C38">
              <w:fldChar w:fldCharType="end"/>
            </w:r>
          </w:hyperlink>
        </w:p>
        <w:p w:rsidR="001C682A" w:rsidRDefault="002010BA">
          <w:pPr>
            <w:pStyle w:val="TOC3"/>
            <w:tabs>
              <w:tab w:val="right" w:leader="dot" w:pos="9060"/>
            </w:tabs>
          </w:pPr>
          <w:hyperlink w:anchor="_Toc389391">
            <w:r w:rsidR="00B03C38">
              <w:t>4.2</w:t>
            </w:r>
            <w:r w:rsidR="00B03C38">
              <w:rPr>
                <w:rFonts w:ascii="Arial" w:eastAsia="Arial" w:hAnsi="Arial" w:cs="Arial"/>
                <w:b w:val="0"/>
              </w:rPr>
              <w:t xml:space="preserve">  </w:t>
            </w:r>
            <w:r w:rsidR="00B03C38">
              <w:t>Expenditure Outturns</w:t>
            </w:r>
            <w:r w:rsidR="00B03C38">
              <w:tab/>
            </w:r>
            <w:r w:rsidR="00B03C38">
              <w:fldChar w:fldCharType="begin"/>
            </w:r>
            <w:r w:rsidR="00B03C38">
              <w:instrText>PAGEREF _Toc389391 \h</w:instrText>
            </w:r>
            <w:r w:rsidR="00B03C38">
              <w:fldChar w:fldCharType="separate"/>
            </w:r>
            <w:r w:rsidR="00B03C38">
              <w:t xml:space="preserve">11 </w:t>
            </w:r>
            <w:r w:rsidR="00B03C38">
              <w:fldChar w:fldCharType="end"/>
            </w:r>
          </w:hyperlink>
        </w:p>
        <w:p w:rsidR="001C682A" w:rsidRDefault="002010BA">
          <w:pPr>
            <w:pStyle w:val="TOC2"/>
            <w:tabs>
              <w:tab w:val="right" w:leader="dot" w:pos="9060"/>
            </w:tabs>
          </w:pPr>
          <w:hyperlink w:anchor="_Toc389392">
            <w:r w:rsidR="00B03C38">
              <w:t>5.0</w:t>
            </w:r>
            <w:r w:rsidR="00B03C38">
              <w:rPr>
                <w:rFonts w:ascii="Arial" w:eastAsia="Arial" w:hAnsi="Arial" w:cs="Arial"/>
                <w:b w:val="0"/>
                <w:i w:val="0"/>
                <w:sz w:val="22"/>
              </w:rPr>
              <w:t xml:space="preserve"> </w:t>
            </w:r>
            <w:r w:rsidR="00B03C38">
              <w:t>Assumptions Underlying Oil and Non-oil Revenue Projections In 2021 - 2023</w:t>
            </w:r>
            <w:r w:rsidR="00B03C38">
              <w:tab/>
            </w:r>
            <w:r w:rsidR="00B03C38">
              <w:fldChar w:fldCharType="begin"/>
            </w:r>
            <w:r w:rsidR="00B03C38">
              <w:instrText>PAGEREF _Toc389392 \h</w:instrText>
            </w:r>
            <w:r w:rsidR="00B03C38">
              <w:fldChar w:fldCharType="separate"/>
            </w:r>
            <w:r w:rsidR="00B03C38">
              <w:t xml:space="preserve">12 </w:t>
            </w:r>
            <w:r w:rsidR="00B03C38">
              <w:fldChar w:fldCharType="end"/>
            </w:r>
          </w:hyperlink>
        </w:p>
        <w:p w:rsidR="001C682A" w:rsidRDefault="002010BA">
          <w:pPr>
            <w:pStyle w:val="TOC3"/>
            <w:tabs>
              <w:tab w:val="right" w:leader="dot" w:pos="9060"/>
            </w:tabs>
          </w:pPr>
          <w:hyperlink w:anchor="_Toc389393">
            <w:r w:rsidR="00B03C38">
              <w:t>5.1</w:t>
            </w:r>
            <w:r w:rsidR="00B03C38">
              <w:rPr>
                <w:rFonts w:ascii="Arial" w:eastAsia="Arial" w:hAnsi="Arial" w:cs="Arial"/>
                <w:b w:val="0"/>
              </w:rPr>
              <w:t xml:space="preserve">  </w:t>
            </w:r>
            <w:r w:rsidR="00B03C38">
              <w:t>Assumptions Underlying Oil Revenues</w:t>
            </w:r>
            <w:r w:rsidR="00B03C38">
              <w:tab/>
            </w:r>
            <w:r w:rsidR="00B03C38">
              <w:fldChar w:fldCharType="begin"/>
            </w:r>
            <w:r w:rsidR="00B03C38">
              <w:instrText>PAGEREF _Toc389393 \h</w:instrText>
            </w:r>
            <w:r w:rsidR="00B03C38">
              <w:fldChar w:fldCharType="separate"/>
            </w:r>
            <w:r w:rsidR="00B03C38">
              <w:t xml:space="preserve">12 </w:t>
            </w:r>
            <w:r w:rsidR="00B03C38">
              <w:fldChar w:fldCharType="end"/>
            </w:r>
          </w:hyperlink>
        </w:p>
        <w:p w:rsidR="001C682A" w:rsidRDefault="002010BA">
          <w:pPr>
            <w:pStyle w:val="TOC4"/>
            <w:tabs>
              <w:tab w:val="right" w:leader="dot" w:pos="9060"/>
            </w:tabs>
          </w:pPr>
          <w:hyperlink w:anchor="_Toc389394">
            <w:r w:rsidR="00B03C38">
              <w:t>5.1.1</w:t>
            </w:r>
            <w:r w:rsidR="00B03C38">
              <w:rPr>
                <w:rFonts w:ascii="Arial" w:eastAsia="Arial" w:hAnsi="Arial" w:cs="Arial"/>
                <w:sz w:val="22"/>
              </w:rPr>
              <w:t xml:space="preserve">  </w:t>
            </w:r>
            <w:r w:rsidR="00B03C38">
              <w:t>Crude Oil Production and Export</w:t>
            </w:r>
            <w:r w:rsidR="00B03C38">
              <w:tab/>
            </w:r>
            <w:r w:rsidR="00B03C38">
              <w:fldChar w:fldCharType="begin"/>
            </w:r>
            <w:r w:rsidR="00B03C38">
              <w:instrText>PAGEREF _Toc389394 \h</w:instrText>
            </w:r>
            <w:r w:rsidR="00B03C38">
              <w:fldChar w:fldCharType="separate"/>
            </w:r>
            <w:r w:rsidR="00B03C38">
              <w:t xml:space="preserve">12 </w:t>
            </w:r>
            <w:r w:rsidR="00B03C38">
              <w:fldChar w:fldCharType="end"/>
            </w:r>
          </w:hyperlink>
        </w:p>
        <w:p w:rsidR="001C682A" w:rsidRDefault="002010BA">
          <w:pPr>
            <w:pStyle w:val="TOC4"/>
            <w:tabs>
              <w:tab w:val="right" w:leader="dot" w:pos="9060"/>
            </w:tabs>
          </w:pPr>
          <w:hyperlink w:anchor="_Toc389395">
            <w:r w:rsidR="00B03C38">
              <w:t>5.1.2</w:t>
            </w:r>
            <w:r w:rsidR="00B03C38">
              <w:rPr>
                <w:rFonts w:ascii="Arial" w:eastAsia="Arial" w:hAnsi="Arial" w:cs="Arial"/>
                <w:sz w:val="22"/>
              </w:rPr>
              <w:t xml:space="preserve">  </w:t>
            </w:r>
            <w:r w:rsidR="00B03C38">
              <w:t>Global Crude Oil Supply and Demand</w:t>
            </w:r>
            <w:r w:rsidR="00B03C38">
              <w:tab/>
            </w:r>
            <w:r w:rsidR="00B03C38">
              <w:fldChar w:fldCharType="begin"/>
            </w:r>
            <w:r w:rsidR="00B03C38">
              <w:instrText>PAGEREF _Toc389395 \h</w:instrText>
            </w:r>
            <w:r w:rsidR="00B03C38">
              <w:fldChar w:fldCharType="separate"/>
            </w:r>
            <w:r w:rsidR="00B03C38">
              <w:t xml:space="preserve">12 </w:t>
            </w:r>
            <w:r w:rsidR="00B03C38">
              <w:fldChar w:fldCharType="end"/>
            </w:r>
          </w:hyperlink>
        </w:p>
        <w:p w:rsidR="001C682A" w:rsidRDefault="002010BA">
          <w:pPr>
            <w:pStyle w:val="TOC4"/>
            <w:tabs>
              <w:tab w:val="right" w:leader="dot" w:pos="9060"/>
            </w:tabs>
          </w:pPr>
          <w:hyperlink w:anchor="_Toc389396">
            <w:r w:rsidR="00B03C38">
              <w:t>5.1.3</w:t>
            </w:r>
            <w:r w:rsidR="00B03C38">
              <w:rPr>
                <w:rFonts w:ascii="Arial" w:eastAsia="Arial" w:hAnsi="Arial" w:cs="Arial"/>
                <w:sz w:val="22"/>
              </w:rPr>
              <w:t xml:space="preserve">  </w:t>
            </w:r>
            <w:r w:rsidR="00B03C38">
              <w:t>Crude Oil Price Benchmark</w:t>
            </w:r>
            <w:r w:rsidR="00B03C38">
              <w:tab/>
            </w:r>
            <w:r w:rsidR="00B03C38">
              <w:fldChar w:fldCharType="begin"/>
            </w:r>
            <w:r w:rsidR="00B03C38">
              <w:instrText>PAGEREF _Toc389396 \h</w:instrText>
            </w:r>
            <w:r w:rsidR="00B03C38">
              <w:fldChar w:fldCharType="separate"/>
            </w:r>
            <w:r w:rsidR="00B03C38">
              <w:t xml:space="preserve">13 </w:t>
            </w:r>
            <w:r w:rsidR="00B03C38">
              <w:fldChar w:fldCharType="end"/>
            </w:r>
          </w:hyperlink>
        </w:p>
        <w:p w:rsidR="001C682A" w:rsidRDefault="002010BA">
          <w:pPr>
            <w:pStyle w:val="TOC3"/>
            <w:tabs>
              <w:tab w:val="right" w:leader="dot" w:pos="9060"/>
            </w:tabs>
          </w:pPr>
          <w:hyperlink w:anchor="_Toc389397">
            <w:r w:rsidR="00B03C38">
              <w:t>5.2</w:t>
            </w:r>
            <w:r w:rsidR="00B03C38">
              <w:rPr>
                <w:rFonts w:ascii="Arial" w:eastAsia="Arial" w:hAnsi="Arial" w:cs="Arial"/>
                <w:b w:val="0"/>
              </w:rPr>
              <w:t xml:space="preserve">  </w:t>
            </w:r>
            <w:r w:rsidR="00B03C38">
              <w:t>Non-Oil Revenue Baseline Assumptions</w:t>
            </w:r>
            <w:r w:rsidR="00B03C38">
              <w:tab/>
            </w:r>
            <w:r w:rsidR="00B03C38">
              <w:fldChar w:fldCharType="begin"/>
            </w:r>
            <w:r w:rsidR="00B03C38">
              <w:instrText>PAGEREF _Toc389397 \h</w:instrText>
            </w:r>
            <w:r w:rsidR="00B03C38">
              <w:fldChar w:fldCharType="separate"/>
            </w:r>
            <w:r w:rsidR="00B03C38">
              <w:t xml:space="preserve">14 </w:t>
            </w:r>
            <w:r w:rsidR="00B03C38">
              <w:fldChar w:fldCharType="end"/>
            </w:r>
          </w:hyperlink>
        </w:p>
        <w:p w:rsidR="001C682A" w:rsidRDefault="002010BA">
          <w:pPr>
            <w:pStyle w:val="TOC5"/>
            <w:tabs>
              <w:tab w:val="right" w:leader="dot" w:pos="9060"/>
            </w:tabs>
          </w:pPr>
          <w:hyperlink w:anchor="_Toc389398">
            <w:r w:rsidR="00B03C38">
              <w:rPr>
                <w:rFonts w:ascii="Arial" w:eastAsia="Arial" w:hAnsi="Arial" w:cs="Arial"/>
              </w:rPr>
              <w:t xml:space="preserve">Customs Collections: </w:t>
            </w:r>
            <w:r w:rsidR="00B03C38">
              <w:t>Import Duties, Excise, Fees and Special Levies</w:t>
            </w:r>
            <w:r w:rsidR="00B03C38">
              <w:tab/>
            </w:r>
            <w:r w:rsidR="00B03C38">
              <w:fldChar w:fldCharType="begin"/>
            </w:r>
            <w:r w:rsidR="00B03C38">
              <w:instrText>PAGEREF _Toc389398 \h</w:instrText>
            </w:r>
            <w:r w:rsidR="00B03C38">
              <w:fldChar w:fldCharType="separate"/>
            </w:r>
            <w:r w:rsidR="00B03C38">
              <w:t xml:space="preserve">14 </w:t>
            </w:r>
            <w:r w:rsidR="00B03C38">
              <w:fldChar w:fldCharType="end"/>
            </w:r>
          </w:hyperlink>
        </w:p>
        <w:p w:rsidR="001C682A" w:rsidRDefault="002010BA">
          <w:pPr>
            <w:pStyle w:val="TOC5"/>
            <w:tabs>
              <w:tab w:val="right" w:leader="dot" w:pos="9060"/>
            </w:tabs>
          </w:pPr>
          <w:hyperlink w:anchor="_Toc389399">
            <w:r w:rsidR="00B03C38">
              <w:t>Companies Income Tax (CIT)</w:t>
            </w:r>
            <w:r w:rsidR="00B03C38">
              <w:tab/>
            </w:r>
            <w:r w:rsidR="00B03C38">
              <w:fldChar w:fldCharType="begin"/>
            </w:r>
            <w:r w:rsidR="00B03C38">
              <w:instrText>PAGEREF _Toc389399 \h</w:instrText>
            </w:r>
            <w:r w:rsidR="00B03C38">
              <w:fldChar w:fldCharType="separate"/>
            </w:r>
            <w:r w:rsidR="00B03C38">
              <w:t xml:space="preserve">14 </w:t>
            </w:r>
            <w:r w:rsidR="00B03C38">
              <w:fldChar w:fldCharType="end"/>
            </w:r>
          </w:hyperlink>
        </w:p>
        <w:p w:rsidR="001C682A" w:rsidRDefault="002010BA">
          <w:pPr>
            <w:pStyle w:val="TOC5"/>
            <w:tabs>
              <w:tab w:val="right" w:leader="dot" w:pos="9060"/>
            </w:tabs>
          </w:pPr>
          <w:hyperlink w:anchor="_Toc389400">
            <w:r w:rsidR="00B03C38">
              <w:t>Value Added Tax (VAT)</w:t>
            </w:r>
            <w:r w:rsidR="00B03C38">
              <w:tab/>
            </w:r>
            <w:r w:rsidR="00B03C38">
              <w:fldChar w:fldCharType="begin"/>
            </w:r>
            <w:r w:rsidR="00B03C38">
              <w:instrText>PAGEREF _Toc389400 \h</w:instrText>
            </w:r>
            <w:r w:rsidR="00B03C38">
              <w:fldChar w:fldCharType="separate"/>
            </w:r>
            <w:r w:rsidR="00B03C38">
              <w:t xml:space="preserve">15 </w:t>
            </w:r>
            <w:r w:rsidR="00B03C38">
              <w:fldChar w:fldCharType="end"/>
            </w:r>
          </w:hyperlink>
        </w:p>
        <w:p w:rsidR="001C682A" w:rsidRDefault="002010BA">
          <w:pPr>
            <w:pStyle w:val="TOC5"/>
            <w:tabs>
              <w:tab w:val="right" w:leader="dot" w:pos="9060"/>
            </w:tabs>
          </w:pPr>
          <w:hyperlink w:anchor="_Toc389401">
            <w:r w:rsidR="00B03C38">
              <w:t>FGN Independent Revenue</w:t>
            </w:r>
            <w:r w:rsidR="00B03C38">
              <w:tab/>
            </w:r>
            <w:r w:rsidR="00B03C38">
              <w:fldChar w:fldCharType="begin"/>
            </w:r>
            <w:r w:rsidR="00B03C38">
              <w:instrText>PAGEREF _Toc389401 \h</w:instrText>
            </w:r>
            <w:r w:rsidR="00B03C38">
              <w:fldChar w:fldCharType="separate"/>
            </w:r>
            <w:r w:rsidR="00B03C38">
              <w:t xml:space="preserve">15 </w:t>
            </w:r>
            <w:r w:rsidR="00B03C38">
              <w:fldChar w:fldCharType="end"/>
            </w:r>
          </w:hyperlink>
        </w:p>
        <w:p w:rsidR="001C682A" w:rsidRDefault="002010BA">
          <w:pPr>
            <w:pStyle w:val="TOC2"/>
            <w:tabs>
              <w:tab w:val="right" w:leader="dot" w:pos="9060"/>
            </w:tabs>
          </w:pPr>
          <w:hyperlink w:anchor="_Toc389402">
            <w:r w:rsidR="00B03C38">
              <w:t>6.0</w:t>
            </w:r>
            <w:r w:rsidR="00B03C38">
              <w:rPr>
                <w:rFonts w:ascii="Arial" w:eastAsia="Arial" w:hAnsi="Arial" w:cs="Arial"/>
                <w:b w:val="0"/>
                <w:i w:val="0"/>
                <w:sz w:val="22"/>
              </w:rPr>
              <w:t xml:space="preserve"> </w:t>
            </w:r>
            <w:r w:rsidR="00B03C38">
              <w:t>Medium term Macroeconomic framework: parameters and targets for 2021-2023</w:t>
            </w:r>
            <w:r w:rsidR="00B03C38">
              <w:tab/>
            </w:r>
            <w:r w:rsidR="00B03C38">
              <w:fldChar w:fldCharType="begin"/>
            </w:r>
            <w:r w:rsidR="00B03C38">
              <w:instrText>PAGEREF _Toc389402 \h</w:instrText>
            </w:r>
            <w:r w:rsidR="00B03C38">
              <w:fldChar w:fldCharType="separate"/>
            </w:r>
            <w:r w:rsidR="00B03C38">
              <w:t xml:space="preserve">15 </w:t>
            </w:r>
            <w:r w:rsidR="00B03C38">
              <w:fldChar w:fldCharType="end"/>
            </w:r>
          </w:hyperlink>
        </w:p>
        <w:p w:rsidR="001C682A" w:rsidRDefault="002010BA">
          <w:pPr>
            <w:pStyle w:val="TOC3"/>
            <w:tabs>
              <w:tab w:val="right" w:leader="dot" w:pos="9060"/>
            </w:tabs>
          </w:pPr>
          <w:hyperlink w:anchor="_Toc389403">
            <w:r w:rsidR="00B03C38">
              <w:t>6.1</w:t>
            </w:r>
            <w:r w:rsidR="00B03C38">
              <w:rPr>
                <w:rFonts w:ascii="Arial" w:eastAsia="Arial" w:hAnsi="Arial" w:cs="Arial"/>
                <w:b w:val="0"/>
              </w:rPr>
              <w:t xml:space="preserve">  </w:t>
            </w:r>
            <w:r w:rsidR="00B03C38">
              <w:t>Macroeconomic Projections</w:t>
            </w:r>
            <w:r w:rsidR="00B03C38">
              <w:tab/>
            </w:r>
            <w:r w:rsidR="00B03C38">
              <w:fldChar w:fldCharType="begin"/>
            </w:r>
            <w:r w:rsidR="00B03C38">
              <w:instrText>PAGEREF _Toc389403 \h</w:instrText>
            </w:r>
            <w:r w:rsidR="00B03C38">
              <w:fldChar w:fldCharType="separate"/>
            </w:r>
            <w:r w:rsidR="00B03C38">
              <w:t xml:space="preserve">15 </w:t>
            </w:r>
            <w:r w:rsidR="00B03C38">
              <w:fldChar w:fldCharType="end"/>
            </w:r>
          </w:hyperlink>
        </w:p>
        <w:p w:rsidR="001C682A" w:rsidRDefault="002010BA">
          <w:pPr>
            <w:pStyle w:val="TOC3"/>
            <w:tabs>
              <w:tab w:val="right" w:leader="dot" w:pos="9060"/>
            </w:tabs>
          </w:pPr>
          <w:hyperlink w:anchor="_Toc389404">
            <w:r w:rsidR="00B03C38">
              <w:rPr>
                <w:rFonts w:ascii="Arial" w:eastAsia="Arial" w:hAnsi="Arial" w:cs="Arial"/>
              </w:rPr>
              <w:t>6.2</w:t>
            </w:r>
            <w:r w:rsidR="00B03C38">
              <w:rPr>
                <w:rFonts w:ascii="Arial" w:eastAsia="Arial" w:hAnsi="Arial" w:cs="Arial"/>
                <w:b w:val="0"/>
              </w:rPr>
              <w:t xml:space="preserve">  </w:t>
            </w:r>
            <w:r w:rsidR="00B03C38">
              <w:rPr>
                <w:rFonts w:ascii="Arial" w:eastAsia="Arial" w:hAnsi="Arial" w:cs="Arial"/>
              </w:rPr>
              <w:t>2020-2022 Medium Term Fiscal Framework (MTFF)</w:t>
            </w:r>
            <w:r w:rsidR="00B03C38">
              <w:tab/>
            </w:r>
            <w:r w:rsidR="00B03C38">
              <w:fldChar w:fldCharType="begin"/>
            </w:r>
            <w:r w:rsidR="00B03C38">
              <w:instrText>PAGEREF _Toc389404 \h</w:instrText>
            </w:r>
            <w:r w:rsidR="00B03C38">
              <w:fldChar w:fldCharType="separate"/>
            </w:r>
            <w:r w:rsidR="00B03C38">
              <w:t xml:space="preserve">16 </w:t>
            </w:r>
            <w:r w:rsidR="00B03C38">
              <w:fldChar w:fldCharType="end"/>
            </w:r>
          </w:hyperlink>
        </w:p>
        <w:p w:rsidR="001C682A" w:rsidRDefault="002010BA">
          <w:pPr>
            <w:pStyle w:val="TOC4"/>
            <w:tabs>
              <w:tab w:val="right" w:leader="dot" w:pos="9060"/>
            </w:tabs>
          </w:pPr>
          <w:hyperlink w:anchor="_Toc389405">
            <w:r w:rsidR="00B03C38">
              <w:rPr>
                <w:rFonts w:ascii="Arial" w:eastAsia="Arial" w:hAnsi="Arial" w:cs="Arial"/>
                <w:b/>
              </w:rPr>
              <w:t>6.2.1</w:t>
            </w:r>
            <w:r w:rsidR="00B03C38">
              <w:rPr>
                <w:rFonts w:ascii="Arial" w:eastAsia="Arial" w:hAnsi="Arial" w:cs="Arial"/>
                <w:sz w:val="22"/>
              </w:rPr>
              <w:t xml:space="preserve">  </w:t>
            </w:r>
            <w:r w:rsidR="00B03C38">
              <w:rPr>
                <w:rFonts w:ascii="Arial" w:eastAsia="Arial" w:hAnsi="Arial" w:cs="Arial"/>
                <w:b/>
              </w:rPr>
              <w:t>Federation Account Revenues</w:t>
            </w:r>
            <w:r w:rsidR="00B03C38">
              <w:tab/>
            </w:r>
            <w:r w:rsidR="00B03C38">
              <w:fldChar w:fldCharType="begin"/>
            </w:r>
            <w:r w:rsidR="00B03C38">
              <w:instrText>PAGEREF _Toc389405 \h</w:instrText>
            </w:r>
            <w:r w:rsidR="00B03C38">
              <w:fldChar w:fldCharType="separate"/>
            </w:r>
            <w:r w:rsidR="00B03C38">
              <w:t xml:space="preserve">16 </w:t>
            </w:r>
            <w:r w:rsidR="00B03C38">
              <w:fldChar w:fldCharType="end"/>
            </w:r>
          </w:hyperlink>
        </w:p>
        <w:p w:rsidR="001C682A" w:rsidRDefault="002010BA">
          <w:pPr>
            <w:pStyle w:val="TOC4"/>
            <w:tabs>
              <w:tab w:val="right" w:leader="dot" w:pos="9060"/>
            </w:tabs>
          </w:pPr>
          <w:hyperlink w:anchor="_Toc389406">
            <w:r w:rsidR="00B03C38">
              <w:t>6.2.1</w:t>
            </w:r>
            <w:r w:rsidR="00B03C38">
              <w:rPr>
                <w:rFonts w:ascii="Arial" w:eastAsia="Arial" w:hAnsi="Arial" w:cs="Arial"/>
                <w:sz w:val="22"/>
              </w:rPr>
              <w:t xml:space="preserve">  </w:t>
            </w:r>
            <w:r w:rsidR="00B03C38">
              <w:t>Revenue Framework</w:t>
            </w:r>
            <w:r w:rsidR="00B03C38">
              <w:tab/>
            </w:r>
            <w:r w:rsidR="00B03C38">
              <w:fldChar w:fldCharType="begin"/>
            </w:r>
            <w:r w:rsidR="00B03C38">
              <w:instrText>PAGEREF _Toc389406 \h</w:instrText>
            </w:r>
            <w:r w:rsidR="00B03C38">
              <w:fldChar w:fldCharType="separate"/>
            </w:r>
            <w:r w:rsidR="00B03C38">
              <w:t xml:space="preserve">17 </w:t>
            </w:r>
            <w:r w:rsidR="00B03C38">
              <w:fldChar w:fldCharType="end"/>
            </w:r>
          </w:hyperlink>
        </w:p>
        <w:p w:rsidR="001C682A" w:rsidRDefault="002010BA">
          <w:pPr>
            <w:pStyle w:val="TOC4"/>
            <w:tabs>
              <w:tab w:val="right" w:leader="dot" w:pos="9060"/>
            </w:tabs>
          </w:pPr>
          <w:hyperlink w:anchor="_Toc389407">
            <w:r w:rsidR="00B03C38">
              <w:t>6.2.2</w:t>
            </w:r>
            <w:r w:rsidR="00B03C38">
              <w:rPr>
                <w:rFonts w:ascii="Arial" w:eastAsia="Arial" w:hAnsi="Arial" w:cs="Arial"/>
                <w:sz w:val="22"/>
              </w:rPr>
              <w:t xml:space="preserve">  </w:t>
            </w:r>
            <w:r w:rsidR="00B03C38">
              <w:t>FGN Expenditure Framework</w:t>
            </w:r>
            <w:r w:rsidR="00B03C38">
              <w:tab/>
            </w:r>
            <w:r w:rsidR="00B03C38">
              <w:fldChar w:fldCharType="begin"/>
            </w:r>
            <w:r w:rsidR="00B03C38">
              <w:instrText>PAGEREF _Toc389407 \h</w:instrText>
            </w:r>
            <w:r w:rsidR="00B03C38">
              <w:fldChar w:fldCharType="separate"/>
            </w:r>
            <w:r w:rsidR="00B03C38">
              <w:t xml:space="preserve">18 </w:t>
            </w:r>
            <w:r w:rsidR="00B03C38">
              <w:fldChar w:fldCharType="end"/>
            </w:r>
          </w:hyperlink>
        </w:p>
        <w:p w:rsidR="001C682A" w:rsidRDefault="002010BA">
          <w:pPr>
            <w:pStyle w:val="TOC4"/>
            <w:tabs>
              <w:tab w:val="right" w:leader="dot" w:pos="9060"/>
            </w:tabs>
          </w:pPr>
          <w:hyperlink w:anchor="_Toc389408">
            <w:r w:rsidR="00B03C38">
              <w:t>6.2.3</w:t>
            </w:r>
            <w:r w:rsidR="00B03C38">
              <w:rPr>
                <w:rFonts w:ascii="Arial" w:eastAsia="Arial" w:hAnsi="Arial" w:cs="Arial"/>
                <w:sz w:val="22"/>
              </w:rPr>
              <w:t xml:space="preserve"> </w:t>
            </w:r>
            <w:r w:rsidR="00B03C38">
              <w:t>Aggregate Expenditure</w:t>
            </w:r>
            <w:r w:rsidR="00B03C38">
              <w:tab/>
            </w:r>
            <w:r w:rsidR="00B03C38">
              <w:fldChar w:fldCharType="begin"/>
            </w:r>
            <w:r w:rsidR="00B03C38">
              <w:instrText>PAGEREF _Toc389408 \h</w:instrText>
            </w:r>
            <w:r w:rsidR="00B03C38">
              <w:fldChar w:fldCharType="separate"/>
            </w:r>
            <w:r w:rsidR="00B03C38">
              <w:t xml:space="preserve">18 </w:t>
            </w:r>
            <w:r w:rsidR="00B03C38">
              <w:fldChar w:fldCharType="end"/>
            </w:r>
          </w:hyperlink>
        </w:p>
        <w:p w:rsidR="001C682A" w:rsidRDefault="002010BA">
          <w:pPr>
            <w:pStyle w:val="TOC4"/>
            <w:tabs>
              <w:tab w:val="right" w:leader="dot" w:pos="9060"/>
            </w:tabs>
          </w:pPr>
          <w:hyperlink w:anchor="_Toc389409">
            <w:r w:rsidR="00B03C38">
              <w:t>6.2.4</w:t>
            </w:r>
            <w:r w:rsidR="00B03C38">
              <w:rPr>
                <w:rFonts w:ascii="Arial" w:eastAsia="Arial" w:hAnsi="Arial" w:cs="Arial"/>
                <w:sz w:val="22"/>
              </w:rPr>
              <w:t xml:space="preserve"> </w:t>
            </w:r>
            <w:r w:rsidR="00B03C38">
              <w:t>Fiscal Deficit and Deficit Financing</w:t>
            </w:r>
            <w:r w:rsidR="00B03C38">
              <w:tab/>
            </w:r>
            <w:r w:rsidR="00B03C38">
              <w:fldChar w:fldCharType="begin"/>
            </w:r>
            <w:r w:rsidR="00B03C38">
              <w:instrText>PAGEREF _Toc389409 \h</w:instrText>
            </w:r>
            <w:r w:rsidR="00B03C38">
              <w:fldChar w:fldCharType="separate"/>
            </w:r>
            <w:r w:rsidR="00B03C38">
              <w:t xml:space="preserve">19 </w:t>
            </w:r>
            <w:r w:rsidR="00B03C38">
              <w:fldChar w:fldCharType="end"/>
            </w:r>
          </w:hyperlink>
        </w:p>
        <w:p w:rsidR="001C682A" w:rsidRDefault="002010BA">
          <w:pPr>
            <w:pStyle w:val="TOC2"/>
            <w:tabs>
              <w:tab w:val="right" w:leader="dot" w:pos="9060"/>
            </w:tabs>
          </w:pPr>
          <w:hyperlink w:anchor="_Toc389410">
            <w:r w:rsidR="00B03C38">
              <w:t>7.0</w:t>
            </w:r>
            <w:r w:rsidR="00B03C38">
              <w:rPr>
                <w:rFonts w:ascii="Arial" w:eastAsia="Arial" w:hAnsi="Arial" w:cs="Arial"/>
                <w:b w:val="0"/>
                <w:i w:val="0"/>
                <w:sz w:val="22"/>
              </w:rPr>
              <w:t xml:space="preserve"> </w:t>
            </w:r>
            <w:r w:rsidR="00B03C38">
              <w:t>Medium Term Objectives, Policies and Strategies</w:t>
            </w:r>
            <w:r w:rsidR="00B03C38">
              <w:tab/>
            </w:r>
            <w:r w:rsidR="00B03C38">
              <w:fldChar w:fldCharType="begin"/>
            </w:r>
            <w:r w:rsidR="00B03C38">
              <w:instrText>PAGEREF _Toc389410 \h</w:instrText>
            </w:r>
            <w:r w:rsidR="00B03C38">
              <w:fldChar w:fldCharType="separate"/>
            </w:r>
            <w:r w:rsidR="00B03C38">
              <w:t xml:space="preserve">20 </w:t>
            </w:r>
            <w:r w:rsidR="00B03C38">
              <w:fldChar w:fldCharType="end"/>
            </w:r>
          </w:hyperlink>
        </w:p>
        <w:p w:rsidR="001C682A" w:rsidRDefault="002010BA">
          <w:pPr>
            <w:pStyle w:val="TOC3"/>
            <w:tabs>
              <w:tab w:val="right" w:leader="dot" w:pos="9060"/>
            </w:tabs>
          </w:pPr>
          <w:hyperlink w:anchor="_Toc389411">
            <w:r w:rsidR="00B03C38">
              <w:t>7.1</w:t>
            </w:r>
            <w:r w:rsidR="00B03C38">
              <w:rPr>
                <w:rFonts w:ascii="Arial" w:eastAsia="Arial" w:hAnsi="Arial" w:cs="Arial"/>
                <w:b w:val="0"/>
              </w:rPr>
              <w:t xml:space="preserve">  </w:t>
            </w:r>
            <w:r w:rsidR="00B03C38">
              <w:t>Macroeconomic Policy Objectives</w:t>
            </w:r>
            <w:r w:rsidR="00B03C38">
              <w:tab/>
            </w:r>
            <w:r w:rsidR="00B03C38">
              <w:fldChar w:fldCharType="begin"/>
            </w:r>
            <w:r w:rsidR="00B03C38">
              <w:instrText>PAGEREF _Toc389411 \h</w:instrText>
            </w:r>
            <w:r w:rsidR="00B03C38">
              <w:fldChar w:fldCharType="separate"/>
            </w:r>
            <w:r w:rsidR="00B03C38">
              <w:t xml:space="preserve">20 </w:t>
            </w:r>
            <w:r w:rsidR="00B03C38">
              <w:fldChar w:fldCharType="end"/>
            </w:r>
          </w:hyperlink>
        </w:p>
        <w:p w:rsidR="001C682A" w:rsidRDefault="002010BA">
          <w:pPr>
            <w:pStyle w:val="TOC4"/>
            <w:tabs>
              <w:tab w:val="right" w:leader="dot" w:pos="9060"/>
            </w:tabs>
          </w:pPr>
          <w:hyperlink w:anchor="_Toc389412">
            <w:r w:rsidR="00B03C38">
              <w:t>7.1.1</w:t>
            </w:r>
            <w:r w:rsidR="00B03C38">
              <w:rPr>
                <w:rFonts w:ascii="Arial" w:eastAsia="Arial" w:hAnsi="Arial" w:cs="Arial"/>
                <w:sz w:val="22"/>
              </w:rPr>
              <w:t xml:space="preserve"> </w:t>
            </w:r>
            <w:r w:rsidR="00B03C38">
              <w:t>Sustaining Economic Growth and Ensuring Inclusiveness</w:t>
            </w:r>
            <w:r w:rsidR="00B03C38">
              <w:tab/>
            </w:r>
            <w:r w:rsidR="00B03C38">
              <w:fldChar w:fldCharType="begin"/>
            </w:r>
            <w:r w:rsidR="00B03C38">
              <w:instrText>PAGEREF _Toc389412 \h</w:instrText>
            </w:r>
            <w:r w:rsidR="00B03C38">
              <w:fldChar w:fldCharType="separate"/>
            </w:r>
            <w:r w:rsidR="00B03C38">
              <w:t xml:space="preserve">20 </w:t>
            </w:r>
            <w:r w:rsidR="00B03C38">
              <w:fldChar w:fldCharType="end"/>
            </w:r>
          </w:hyperlink>
        </w:p>
        <w:p w:rsidR="001C682A" w:rsidRDefault="002010BA">
          <w:pPr>
            <w:pStyle w:val="TOC4"/>
            <w:tabs>
              <w:tab w:val="right" w:leader="dot" w:pos="9060"/>
            </w:tabs>
          </w:pPr>
          <w:hyperlink w:anchor="_Toc389413">
            <w:r w:rsidR="00B03C38">
              <w:t>7.1.2</w:t>
            </w:r>
            <w:r w:rsidR="00B03C38">
              <w:rPr>
                <w:rFonts w:ascii="Arial" w:eastAsia="Arial" w:hAnsi="Arial" w:cs="Arial"/>
                <w:sz w:val="22"/>
              </w:rPr>
              <w:t xml:space="preserve"> </w:t>
            </w:r>
            <w:r w:rsidR="00B03C38">
              <w:t>Supporting Employment Creation and Preserving Jobs</w:t>
            </w:r>
            <w:r w:rsidR="00B03C38">
              <w:tab/>
            </w:r>
            <w:r w:rsidR="00B03C38">
              <w:fldChar w:fldCharType="begin"/>
            </w:r>
            <w:r w:rsidR="00B03C38">
              <w:instrText>PAGEREF _Toc389413 \h</w:instrText>
            </w:r>
            <w:r w:rsidR="00B03C38">
              <w:fldChar w:fldCharType="separate"/>
            </w:r>
            <w:r w:rsidR="00B03C38">
              <w:t xml:space="preserve">22 </w:t>
            </w:r>
            <w:r w:rsidR="00B03C38">
              <w:fldChar w:fldCharType="end"/>
            </w:r>
          </w:hyperlink>
        </w:p>
        <w:p w:rsidR="001C682A" w:rsidRDefault="002010BA">
          <w:pPr>
            <w:pStyle w:val="TOC4"/>
            <w:tabs>
              <w:tab w:val="right" w:leader="dot" w:pos="9060"/>
            </w:tabs>
          </w:pPr>
          <w:hyperlink w:anchor="_Toc389414">
            <w:r w:rsidR="00B03C38">
              <w:t>7.1.3</w:t>
            </w:r>
            <w:r w:rsidR="00B03C38">
              <w:rPr>
                <w:rFonts w:ascii="Arial" w:eastAsia="Arial" w:hAnsi="Arial" w:cs="Arial"/>
                <w:sz w:val="22"/>
              </w:rPr>
              <w:t xml:space="preserve">  </w:t>
            </w:r>
            <w:r w:rsidR="00B03C38">
              <w:t>Ensuring Macroeconomic Stability</w:t>
            </w:r>
            <w:r w:rsidR="00B03C38">
              <w:tab/>
            </w:r>
            <w:r w:rsidR="00B03C38">
              <w:fldChar w:fldCharType="begin"/>
            </w:r>
            <w:r w:rsidR="00B03C38">
              <w:instrText>PAGEREF _Toc389414 \h</w:instrText>
            </w:r>
            <w:r w:rsidR="00B03C38">
              <w:fldChar w:fldCharType="separate"/>
            </w:r>
            <w:r w:rsidR="00B03C38">
              <w:t xml:space="preserve">22 </w:t>
            </w:r>
            <w:r w:rsidR="00B03C38">
              <w:fldChar w:fldCharType="end"/>
            </w:r>
          </w:hyperlink>
        </w:p>
        <w:p w:rsidR="001C682A" w:rsidRDefault="002010BA">
          <w:pPr>
            <w:pStyle w:val="TOC3"/>
            <w:tabs>
              <w:tab w:val="right" w:leader="dot" w:pos="9060"/>
            </w:tabs>
          </w:pPr>
          <w:hyperlink w:anchor="_Toc389415">
            <w:r w:rsidR="00B03C38">
              <w:t>7.2</w:t>
            </w:r>
            <w:r w:rsidR="00B03C38">
              <w:rPr>
                <w:rFonts w:ascii="Arial" w:eastAsia="Arial" w:hAnsi="Arial" w:cs="Arial"/>
                <w:b w:val="0"/>
              </w:rPr>
              <w:t xml:space="preserve">  </w:t>
            </w:r>
            <w:r w:rsidR="00B03C38">
              <w:t>Fiscal Policy Objectives and Strategies</w:t>
            </w:r>
            <w:r w:rsidR="00B03C38">
              <w:tab/>
            </w:r>
            <w:r w:rsidR="00B03C38">
              <w:fldChar w:fldCharType="begin"/>
            </w:r>
            <w:r w:rsidR="00B03C38">
              <w:instrText>PAGEREF _Toc389415 \h</w:instrText>
            </w:r>
            <w:r w:rsidR="00B03C38">
              <w:fldChar w:fldCharType="separate"/>
            </w:r>
            <w:r w:rsidR="00B03C38">
              <w:t xml:space="preserve">23 </w:t>
            </w:r>
            <w:r w:rsidR="00B03C38">
              <w:fldChar w:fldCharType="end"/>
            </w:r>
          </w:hyperlink>
        </w:p>
        <w:p w:rsidR="001C682A" w:rsidRDefault="002010BA">
          <w:pPr>
            <w:pStyle w:val="TOC4"/>
            <w:tabs>
              <w:tab w:val="right" w:leader="dot" w:pos="9060"/>
            </w:tabs>
          </w:pPr>
          <w:hyperlink w:anchor="_Toc389416">
            <w:r w:rsidR="00B03C38">
              <w:t>7.2.1</w:t>
            </w:r>
            <w:r w:rsidR="00B03C38">
              <w:rPr>
                <w:rFonts w:ascii="Arial" w:eastAsia="Arial" w:hAnsi="Arial" w:cs="Arial"/>
                <w:sz w:val="22"/>
              </w:rPr>
              <w:t xml:space="preserve">  </w:t>
            </w:r>
            <w:r w:rsidR="00B03C38">
              <w:t>Optimizing Government Revenue</w:t>
            </w:r>
            <w:r w:rsidR="00B03C38">
              <w:tab/>
            </w:r>
            <w:r w:rsidR="00B03C38">
              <w:fldChar w:fldCharType="begin"/>
            </w:r>
            <w:r w:rsidR="00B03C38">
              <w:instrText>PAGEREF _Toc389416 \h</w:instrText>
            </w:r>
            <w:r w:rsidR="00B03C38">
              <w:fldChar w:fldCharType="separate"/>
            </w:r>
            <w:r w:rsidR="00B03C38">
              <w:t xml:space="preserve">23 </w:t>
            </w:r>
            <w:r w:rsidR="00B03C38">
              <w:fldChar w:fldCharType="end"/>
            </w:r>
          </w:hyperlink>
        </w:p>
        <w:p w:rsidR="001C682A" w:rsidRDefault="002010BA">
          <w:pPr>
            <w:pStyle w:val="TOC4"/>
            <w:tabs>
              <w:tab w:val="right" w:leader="dot" w:pos="9060"/>
            </w:tabs>
          </w:pPr>
          <w:hyperlink w:anchor="_Toc389417">
            <w:r w:rsidR="00B03C38">
              <w:t>7.2.2</w:t>
            </w:r>
            <w:r w:rsidR="00B03C38">
              <w:rPr>
                <w:rFonts w:ascii="Arial" w:eastAsia="Arial" w:hAnsi="Arial" w:cs="Arial"/>
                <w:sz w:val="22"/>
              </w:rPr>
              <w:t xml:space="preserve">  </w:t>
            </w:r>
            <w:r w:rsidR="00B03C38">
              <w:t>Creating Fiscal Space for Infrastructural Development</w:t>
            </w:r>
            <w:r w:rsidR="00B03C38">
              <w:tab/>
            </w:r>
            <w:r w:rsidR="00B03C38">
              <w:fldChar w:fldCharType="begin"/>
            </w:r>
            <w:r w:rsidR="00B03C38">
              <w:instrText>PAGEREF _Toc389417 \h</w:instrText>
            </w:r>
            <w:r w:rsidR="00B03C38">
              <w:fldChar w:fldCharType="separate"/>
            </w:r>
            <w:r w:rsidR="00B03C38">
              <w:t xml:space="preserve">26 </w:t>
            </w:r>
            <w:r w:rsidR="00B03C38">
              <w:fldChar w:fldCharType="end"/>
            </w:r>
          </w:hyperlink>
        </w:p>
        <w:p w:rsidR="001C682A" w:rsidRDefault="002010BA">
          <w:pPr>
            <w:pStyle w:val="TOC4"/>
            <w:tabs>
              <w:tab w:val="right" w:leader="dot" w:pos="9060"/>
            </w:tabs>
          </w:pPr>
          <w:hyperlink w:anchor="_Toc389418">
            <w:r w:rsidR="00B03C38">
              <w:t>7.2.3</w:t>
            </w:r>
            <w:r w:rsidR="00B03C38">
              <w:rPr>
                <w:rFonts w:ascii="Arial" w:eastAsia="Arial" w:hAnsi="Arial" w:cs="Arial"/>
                <w:sz w:val="22"/>
              </w:rPr>
              <w:t xml:space="preserve">  </w:t>
            </w:r>
            <w:r w:rsidR="00B03C38">
              <w:t>Enhancing Fiscal Prudence and Transparency</w:t>
            </w:r>
            <w:r w:rsidR="00B03C38">
              <w:tab/>
            </w:r>
            <w:r w:rsidR="00B03C38">
              <w:fldChar w:fldCharType="begin"/>
            </w:r>
            <w:r w:rsidR="00B03C38">
              <w:instrText>PAGEREF _Toc389418 \h</w:instrText>
            </w:r>
            <w:r w:rsidR="00B03C38">
              <w:fldChar w:fldCharType="separate"/>
            </w:r>
            <w:r w:rsidR="00B03C38">
              <w:t xml:space="preserve">27 </w:t>
            </w:r>
            <w:r w:rsidR="00B03C38">
              <w:fldChar w:fldCharType="end"/>
            </w:r>
          </w:hyperlink>
        </w:p>
        <w:p w:rsidR="001C682A" w:rsidRDefault="002010BA">
          <w:pPr>
            <w:pStyle w:val="TOC4"/>
            <w:tabs>
              <w:tab w:val="right" w:leader="dot" w:pos="9060"/>
            </w:tabs>
          </w:pPr>
          <w:hyperlink w:anchor="_Toc389419">
            <w:r w:rsidR="00B03C38">
              <w:t>7.2.4</w:t>
            </w:r>
            <w:r w:rsidR="00B03C38">
              <w:rPr>
                <w:rFonts w:ascii="Arial" w:eastAsia="Arial" w:hAnsi="Arial" w:cs="Arial"/>
                <w:sz w:val="22"/>
              </w:rPr>
              <w:t xml:space="preserve">  </w:t>
            </w:r>
            <w:r w:rsidR="00B03C38">
              <w:t>Ensuring Sustainable Deficit and Debt Levels</w:t>
            </w:r>
            <w:r w:rsidR="00B03C38">
              <w:tab/>
            </w:r>
            <w:r w:rsidR="00B03C38">
              <w:fldChar w:fldCharType="begin"/>
            </w:r>
            <w:r w:rsidR="00B03C38">
              <w:instrText>PAGEREF _Toc389419 \h</w:instrText>
            </w:r>
            <w:r w:rsidR="00B03C38">
              <w:fldChar w:fldCharType="separate"/>
            </w:r>
            <w:r w:rsidR="00B03C38">
              <w:t xml:space="preserve">28 </w:t>
            </w:r>
            <w:r w:rsidR="00B03C38">
              <w:fldChar w:fldCharType="end"/>
            </w:r>
          </w:hyperlink>
        </w:p>
        <w:p w:rsidR="001C682A" w:rsidRDefault="002010BA">
          <w:pPr>
            <w:pStyle w:val="TOC3"/>
            <w:tabs>
              <w:tab w:val="right" w:leader="dot" w:pos="9060"/>
            </w:tabs>
          </w:pPr>
          <w:hyperlink w:anchor="_Toc389420">
            <w:r w:rsidR="00B03C38">
              <w:t>7.3</w:t>
            </w:r>
            <w:r w:rsidR="00B03C38">
              <w:rPr>
                <w:rFonts w:ascii="Arial" w:eastAsia="Arial" w:hAnsi="Arial" w:cs="Arial"/>
                <w:b w:val="0"/>
              </w:rPr>
              <w:t xml:space="preserve">  </w:t>
            </w:r>
            <w:r w:rsidR="00B03C38">
              <w:t>Monetary Policy Objectives and Strategy</w:t>
            </w:r>
            <w:r w:rsidR="00B03C38">
              <w:tab/>
            </w:r>
            <w:r w:rsidR="00B03C38">
              <w:fldChar w:fldCharType="begin"/>
            </w:r>
            <w:r w:rsidR="00B03C38">
              <w:instrText>PAGEREF _Toc389420 \h</w:instrText>
            </w:r>
            <w:r w:rsidR="00B03C38">
              <w:fldChar w:fldCharType="separate"/>
            </w:r>
            <w:r w:rsidR="00B03C38">
              <w:t xml:space="preserve">28 </w:t>
            </w:r>
            <w:r w:rsidR="00B03C38">
              <w:fldChar w:fldCharType="end"/>
            </w:r>
          </w:hyperlink>
        </w:p>
        <w:p w:rsidR="001C682A" w:rsidRDefault="002010BA">
          <w:pPr>
            <w:pStyle w:val="TOC4"/>
            <w:tabs>
              <w:tab w:val="right" w:leader="dot" w:pos="9060"/>
            </w:tabs>
          </w:pPr>
          <w:hyperlink w:anchor="_Toc389421">
            <w:r w:rsidR="00B03C38">
              <w:t>7.3.1</w:t>
            </w:r>
            <w:r w:rsidR="00B03C38">
              <w:rPr>
                <w:rFonts w:ascii="Arial" w:eastAsia="Arial" w:hAnsi="Arial" w:cs="Arial"/>
                <w:sz w:val="22"/>
              </w:rPr>
              <w:t xml:space="preserve">  </w:t>
            </w:r>
            <w:r w:rsidR="00B03C38">
              <w:t>Monetary Policy Objectives</w:t>
            </w:r>
            <w:r w:rsidR="00B03C38">
              <w:tab/>
            </w:r>
            <w:r w:rsidR="00B03C38">
              <w:fldChar w:fldCharType="begin"/>
            </w:r>
            <w:r w:rsidR="00B03C38">
              <w:instrText>PAGEREF _Toc389421 \h</w:instrText>
            </w:r>
            <w:r w:rsidR="00B03C38">
              <w:fldChar w:fldCharType="separate"/>
            </w:r>
            <w:r w:rsidR="00B03C38">
              <w:t xml:space="preserve">28 </w:t>
            </w:r>
            <w:r w:rsidR="00B03C38">
              <w:fldChar w:fldCharType="end"/>
            </w:r>
          </w:hyperlink>
        </w:p>
        <w:p w:rsidR="001C682A" w:rsidRDefault="002010BA">
          <w:pPr>
            <w:pStyle w:val="TOC4"/>
            <w:tabs>
              <w:tab w:val="right" w:leader="dot" w:pos="9060"/>
            </w:tabs>
          </w:pPr>
          <w:hyperlink w:anchor="_Toc389422">
            <w:r w:rsidR="00B03C38">
              <w:t>7.3.2</w:t>
            </w:r>
            <w:r w:rsidR="00B03C38">
              <w:rPr>
                <w:rFonts w:ascii="Arial" w:eastAsia="Arial" w:hAnsi="Arial" w:cs="Arial"/>
                <w:sz w:val="22"/>
              </w:rPr>
              <w:t xml:space="preserve">  </w:t>
            </w:r>
            <w:r w:rsidR="00B03C38">
              <w:t>Monetary Policy Stance</w:t>
            </w:r>
            <w:r w:rsidR="00B03C38">
              <w:tab/>
            </w:r>
            <w:r w:rsidR="00B03C38">
              <w:fldChar w:fldCharType="begin"/>
            </w:r>
            <w:r w:rsidR="00B03C38">
              <w:instrText>PAGEREF _Toc389422 \h</w:instrText>
            </w:r>
            <w:r w:rsidR="00B03C38">
              <w:fldChar w:fldCharType="separate"/>
            </w:r>
            <w:r w:rsidR="00B03C38">
              <w:t xml:space="preserve">29 </w:t>
            </w:r>
            <w:r w:rsidR="00B03C38">
              <w:fldChar w:fldCharType="end"/>
            </w:r>
          </w:hyperlink>
        </w:p>
        <w:p w:rsidR="001C682A" w:rsidRDefault="002010BA">
          <w:pPr>
            <w:pStyle w:val="TOC4"/>
            <w:tabs>
              <w:tab w:val="right" w:leader="dot" w:pos="9060"/>
            </w:tabs>
          </w:pPr>
          <w:hyperlink w:anchor="_Toc389423">
            <w:r w:rsidR="00B03C38">
              <w:t>7.3.3</w:t>
            </w:r>
            <w:r w:rsidR="00B03C38">
              <w:rPr>
                <w:rFonts w:ascii="Arial" w:eastAsia="Arial" w:hAnsi="Arial" w:cs="Arial"/>
                <w:sz w:val="22"/>
              </w:rPr>
              <w:t xml:space="preserve">  </w:t>
            </w:r>
            <w:r w:rsidR="00B03C38">
              <w:t>Challenges to Monetary Policy and Outlook for the economy</w:t>
            </w:r>
            <w:r w:rsidR="00B03C38">
              <w:tab/>
            </w:r>
            <w:r w:rsidR="00B03C38">
              <w:fldChar w:fldCharType="begin"/>
            </w:r>
            <w:r w:rsidR="00B03C38">
              <w:instrText>PAGEREF _Toc389423 \h</w:instrText>
            </w:r>
            <w:r w:rsidR="00B03C38">
              <w:fldChar w:fldCharType="separate"/>
            </w:r>
            <w:r w:rsidR="00B03C38">
              <w:t xml:space="preserve">31 </w:t>
            </w:r>
            <w:r w:rsidR="00B03C38">
              <w:fldChar w:fldCharType="end"/>
            </w:r>
          </w:hyperlink>
        </w:p>
        <w:p w:rsidR="001C682A" w:rsidRDefault="002010BA">
          <w:pPr>
            <w:pStyle w:val="TOC3"/>
            <w:tabs>
              <w:tab w:val="right" w:leader="dot" w:pos="9060"/>
            </w:tabs>
          </w:pPr>
          <w:hyperlink w:anchor="_Toc389424">
            <w:r w:rsidR="00B03C38">
              <w:t>7.4</w:t>
            </w:r>
            <w:r w:rsidR="00B03C38">
              <w:rPr>
                <w:rFonts w:ascii="Arial" w:eastAsia="Arial" w:hAnsi="Arial" w:cs="Arial"/>
                <w:b w:val="0"/>
              </w:rPr>
              <w:t xml:space="preserve">  </w:t>
            </w:r>
            <w:r w:rsidR="00B03C38">
              <w:t>Key Sectoral Policy Initiatives</w:t>
            </w:r>
            <w:r w:rsidR="00B03C38">
              <w:tab/>
            </w:r>
            <w:r w:rsidR="00B03C38">
              <w:fldChar w:fldCharType="begin"/>
            </w:r>
            <w:r w:rsidR="00B03C38">
              <w:instrText>PAGEREF _Toc389424 \h</w:instrText>
            </w:r>
            <w:r w:rsidR="00B03C38">
              <w:fldChar w:fldCharType="separate"/>
            </w:r>
            <w:r w:rsidR="00B03C38">
              <w:t xml:space="preserve">31 </w:t>
            </w:r>
            <w:r w:rsidR="00B03C38">
              <w:fldChar w:fldCharType="end"/>
            </w:r>
          </w:hyperlink>
        </w:p>
        <w:p w:rsidR="001C682A" w:rsidRDefault="002010BA">
          <w:pPr>
            <w:pStyle w:val="TOC5"/>
            <w:tabs>
              <w:tab w:val="right" w:leader="dot" w:pos="9060"/>
            </w:tabs>
          </w:pPr>
          <w:hyperlink w:anchor="_Toc389425">
            <w:r w:rsidR="00B03C38">
              <w:t>7.4.1</w:t>
            </w:r>
            <w:r w:rsidR="00B03C38">
              <w:rPr>
                <w:rFonts w:ascii="Arial" w:eastAsia="Arial" w:hAnsi="Arial" w:cs="Arial"/>
                <w:sz w:val="22"/>
              </w:rPr>
              <w:t xml:space="preserve">  </w:t>
            </w:r>
            <w:r w:rsidR="00B03C38">
              <w:t>Extensive Public Works and Road Construction Programme</w:t>
            </w:r>
            <w:r w:rsidR="00B03C38">
              <w:tab/>
            </w:r>
            <w:r w:rsidR="00B03C38">
              <w:fldChar w:fldCharType="begin"/>
            </w:r>
            <w:r w:rsidR="00B03C38">
              <w:instrText>PAGEREF _Toc389425 \h</w:instrText>
            </w:r>
            <w:r w:rsidR="00B03C38">
              <w:fldChar w:fldCharType="separate"/>
            </w:r>
            <w:r w:rsidR="00B03C38">
              <w:t xml:space="preserve">31 </w:t>
            </w:r>
            <w:r w:rsidR="00B03C38">
              <w:fldChar w:fldCharType="end"/>
            </w:r>
          </w:hyperlink>
        </w:p>
        <w:p w:rsidR="001C682A" w:rsidRDefault="002010BA">
          <w:pPr>
            <w:pStyle w:val="TOC5"/>
            <w:tabs>
              <w:tab w:val="right" w:leader="dot" w:pos="9060"/>
            </w:tabs>
          </w:pPr>
          <w:hyperlink w:anchor="_Toc389426">
            <w:r w:rsidR="00B03C38">
              <w:t>7.4.2</w:t>
            </w:r>
            <w:r w:rsidR="00B03C38">
              <w:rPr>
                <w:rFonts w:ascii="Arial" w:eastAsia="Arial" w:hAnsi="Arial" w:cs="Arial"/>
                <w:sz w:val="22"/>
              </w:rPr>
              <w:t xml:space="preserve">  </w:t>
            </w:r>
            <w:r w:rsidR="00B03C38">
              <w:t>Support for Micro, Small &amp; Medium Enterprises</w:t>
            </w:r>
            <w:r w:rsidR="00B03C38">
              <w:tab/>
            </w:r>
            <w:r w:rsidR="00B03C38">
              <w:fldChar w:fldCharType="begin"/>
            </w:r>
            <w:r w:rsidR="00B03C38">
              <w:instrText>PAGEREF _Toc389426 \h</w:instrText>
            </w:r>
            <w:r w:rsidR="00B03C38">
              <w:fldChar w:fldCharType="separate"/>
            </w:r>
            <w:r w:rsidR="00B03C38">
              <w:t xml:space="preserve">32 </w:t>
            </w:r>
            <w:r w:rsidR="00B03C38">
              <w:fldChar w:fldCharType="end"/>
            </w:r>
          </w:hyperlink>
        </w:p>
        <w:p w:rsidR="001C682A" w:rsidRDefault="002010BA">
          <w:pPr>
            <w:pStyle w:val="TOC5"/>
            <w:tabs>
              <w:tab w:val="right" w:leader="dot" w:pos="9060"/>
            </w:tabs>
          </w:pPr>
          <w:hyperlink w:anchor="_Toc389427">
            <w:r w:rsidR="00B03C38">
              <w:t>7.4.3</w:t>
            </w:r>
            <w:r w:rsidR="00B03C38">
              <w:rPr>
                <w:rFonts w:ascii="Arial" w:eastAsia="Arial" w:hAnsi="Arial" w:cs="Arial"/>
                <w:sz w:val="22"/>
              </w:rPr>
              <w:t xml:space="preserve">  </w:t>
            </w:r>
            <w:r w:rsidR="00B03C38">
              <w:t>Energy Sector Policy Initiatives</w:t>
            </w:r>
            <w:r w:rsidR="00B03C38">
              <w:tab/>
            </w:r>
            <w:r w:rsidR="00B03C38">
              <w:fldChar w:fldCharType="begin"/>
            </w:r>
            <w:r w:rsidR="00B03C38">
              <w:instrText>PAGEREF _Toc389427 \h</w:instrText>
            </w:r>
            <w:r w:rsidR="00B03C38">
              <w:fldChar w:fldCharType="separate"/>
            </w:r>
            <w:r w:rsidR="00B03C38">
              <w:t xml:space="preserve">32 </w:t>
            </w:r>
            <w:r w:rsidR="00B03C38">
              <w:fldChar w:fldCharType="end"/>
            </w:r>
          </w:hyperlink>
        </w:p>
        <w:p w:rsidR="001C682A" w:rsidRDefault="002010BA">
          <w:pPr>
            <w:pStyle w:val="TOC5"/>
            <w:tabs>
              <w:tab w:val="right" w:leader="dot" w:pos="9060"/>
            </w:tabs>
          </w:pPr>
          <w:hyperlink w:anchor="_Toc389428">
            <w:r w:rsidR="00B03C38">
              <w:t>7.4.4</w:t>
            </w:r>
            <w:r w:rsidR="00B03C38">
              <w:rPr>
                <w:rFonts w:ascii="Arial" w:eastAsia="Arial" w:hAnsi="Arial" w:cs="Arial"/>
                <w:sz w:val="22"/>
              </w:rPr>
              <w:t xml:space="preserve">  </w:t>
            </w:r>
            <w:r w:rsidR="00B03C38">
              <w:t>Mass Agricultural Programme</w:t>
            </w:r>
            <w:r w:rsidR="00B03C38">
              <w:tab/>
            </w:r>
            <w:r w:rsidR="00B03C38">
              <w:fldChar w:fldCharType="begin"/>
            </w:r>
            <w:r w:rsidR="00B03C38">
              <w:instrText>PAGEREF _Toc389428 \h</w:instrText>
            </w:r>
            <w:r w:rsidR="00B03C38">
              <w:fldChar w:fldCharType="separate"/>
            </w:r>
            <w:r w:rsidR="00B03C38">
              <w:t xml:space="preserve">32 </w:t>
            </w:r>
            <w:r w:rsidR="00B03C38">
              <w:fldChar w:fldCharType="end"/>
            </w:r>
          </w:hyperlink>
        </w:p>
        <w:p w:rsidR="001C682A" w:rsidRDefault="002010BA">
          <w:pPr>
            <w:pStyle w:val="TOC5"/>
            <w:tabs>
              <w:tab w:val="right" w:leader="dot" w:pos="9060"/>
            </w:tabs>
          </w:pPr>
          <w:hyperlink w:anchor="_Toc389429">
            <w:r w:rsidR="00B03C38">
              <w:t>7.4.5</w:t>
            </w:r>
            <w:r w:rsidR="00B03C38">
              <w:rPr>
                <w:rFonts w:ascii="Arial" w:eastAsia="Arial" w:hAnsi="Arial" w:cs="Arial"/>
                <w:sz w:val="22"/>
              </w:rPr>
              <w:t xml:space="preserve"> </w:t>
            </w:r>
            <w:r w:rsidR="00B03C38">
              <w:t>Strengthening the Social Safety Net</w:t>
            </w:r>
            <w:r w:rsidR="00B03C38">
              <w:tab/>
            </w:r>
            <w:r w:rsidR="00B03C38">
              <w:fldChar w:fldCharType="begin"/>
            </w:r>
            <w:r w:rsidR="00B03C38">
              <w:instrText>PAGEREF _Toc389429 \h</w:instrText>
            </w:r>
            <w:r w:rsidR="00B03C38">
              <w:fldChar w:fldCharType="separate"/>
            </w:r>
            <w:r w:rsidR="00B03C38">
              <w:t xml:space="preserve">32 </w:t>
            </w:r>
            <w:r w:rsidR="00B03C38">
              <w:fldChar w:fldCharType="end"/>
            </w:r>
          </w:hyperlink>
        </w:p>
        <w:p w:rsidR="001C682A" w:rsidRDefault="002010BA">
          <w:pPr>
            <w:pStyle w:val="TOC5"/>
            <w:tabs>
              <w:tab w:val="right" w:leader="dot" w:pos="9060"/>
            </w:tabs>
          </w:pPr>
          <w:hyperlink w:anchor="_Toc389430">
            <w:r w:rsidR="00B03C38">
              <w:t>7.4.6</w:t>
            </w:r>
            <w:r w:rsidR="00B03C38">
              <w:rPr>
                <w:rFonts w:ascii="Arial" w:eastAsia="Arial" w:hAnsi="Arial" w:cs="Arial"/>
                <w:sz w:val="22"/>
              </w:rPr>
              <w:t xml:space="preserve"> </w:t>
            </w:r>
            <w:r w:rsidR="00B03C38">
              <w:t>Digital Technology</w:t>
            </w:r>
            <w:r w:rsidR="00B03C38">
              <w:tab/>
            </w:r>
            <w:r w:rsidR="00B03C38">
              <w:fldChar w:fldCharType="begin"/>
            </w:r>
            <w:r w:rsidR="00B03C38">
              <w:instrText>PAGEREF _Toc389430 \h</w:instrText>
            </w:r>
            <w:r w:rsidR="00B03C38">
              <w:fldChar w:fldCharType="separate"/>
            </w:r>
            <w:r w:rsidR="00B03C38">
              <w:t xml:space="preserve">33 </w:t>
            </w:r>
            <w:r w:rsidR="00B03C38">
              <w:fldChar w:fldCharType="end"/>
            </w:r>
          </w:hyperlink>
        </w:p>
        <w:p w:rsidR="001C682A" w:rsidRDefault="002010BA">
          <w:pPr>
            <w:pStyle w:val="TOC2"/>
            <w:tabs>
              <w:tab w:val="right" w:leader="dot" w:pos="9060"/>
            </w:tabs>
          </w:pPr>
          <w:hyperlink w:anchor="_Toc389431">
            <w:r w:rsidR="00B03C38">
              <w:t>8.0</w:t>
            </w:r>
            <w:r w:rsidR="00B03C38">
              <w:rPr>
                <w:rFonts w:ascii="Arial" w:eastAsia="Arial" w:hAnsi="Arial" w:cs="Arial"/>
                <w:b w:val="0"/>
                <w:i w:val="0"/>
                <w:sz w:val="22"/>
              </w:rPr>
              <w:t xml:space="preserve"> </w:t>
            </w:r>
            <w:r w:rsidR="00B03C38">
              <w:t>Analysis &amp; Statement on Consolidated Debt &amp; Contingent Liabilities</w:t>
            </w:r>
            <w:r w:rsidR="00B03C38">
              <w:tab/>
            </w:r>
            <w:r w:rsidR="00B03C38">
              <w:fldChar w:fldCharType="begin"/>
            </w:r>
            <w:r w:rsidR="00B03C38">
              <w:instrText>PAGEREF _Toc389431 \h</w:instrText>
            </w:r>
            <w:r w:rsidR="00B03C38">
              <w:fldChar w:fldCharType="separate"/>
            </w:r>
            <w:r w:rsidR="00B03C38">
              <w:t xml:space="preserve">33 </w:t>
            </w:r>
            <w:r w:rsidR="00B03C38">
              <w:fldChar w:fldCharType="end"/>
            </w:r>
          </w:hyperlink>
        </w:p>
        <w:p w:rsidR="001C682A" w:rsidRDefault="002010BA">
          <w:pPr>
            <w:pStyle w:val="TOC3"/>
            <w:tabs>
              <w:tab w:val="right" w:leader="dot" w:pos="9060"/>
            </w:tabs>
          </w:pPr>
          <w:hyperlink w:anchor="_Toc389432">
            <w:r w:rsidR="00B03C38">
              <w:t>8.1</w:t>
            </w:r>
            <w:r w:rsidR="00B03C38">
              <w:rPr>
                <w:rFonts w:ascii="Arial" w:eastAsia="Arial" w:hAnsi="Arial" w:cs="Arial"/>
                <w:b w:val="0"/>
              </w:rPr>
              <w:t xml:space="preserve">  </w:t>
            </w:r>
            <w:r w:rsidR="00B03C38">
              <w:t>Nigeria’s Current Debt Profile</w:t>
            </w:r>
            <w:r w:rsidR="00B03C38">
              <w:tab/>
            </w:r>
            <w:r w:rsidR="00B03C38">
              <w:fldChar w:fldCharType="begin"/>
            </w:r>
            <w:r w:rsidR="00B03C38">
              <w:instrText>PAGEREF _Toc389432 \h</w:instrText>
            </w:r>
            <w:r w:rsidR="00B03C38">
              <w:fldChar w:fldCharType="separate"/>
            </w:r>
            <w:r w:rsidR="00B03C38">
              <w:t xml:space="preserve">33 </w:t>
            </w:r>
            <w:r w:rsidR="00B03C38">
              <w:fldChar w:fldCharType="end"/>
            </w:r>
          </w:hyperlink>
        </w:p>
        <w:p w:rsidR="001C682A" w:rsidRDefault="002010BA">
          <w:pPr>
            <w:pStyle w:val="TOC4"/>
            <w:tabs>
              <w:tab w:val="right" w:leader="dot" w:pos="9060"/>
            </w:tabs>
          </w:pPr>
          <w:hyperlink w:anchor="_Toc389433">
            <w:r w:rsidR="00B03C38">
              <w:t>8.1.1</w:t>
            </w:r>
            <w:r w:rsidR="00B03C38">
              <w:rPr>
                <w:rFonts w:ascii="Arial" w:eastAsia="Arial" w:hAnsi="Arial" w:cs="Arial"/>
                <w:sz w:val="22"/>
              </w:rPr>
              <w:t xml:space="preserve">  </w:t>
            </w:r>
            <w:r w:rsidR="00B03C38">
              <w:t>Debt Stock</w:t>
            </w:r>
            <w:r w:rsidR="00B03C38">
              <w:tab/>
            </w:r>
            <w:r w:rsidR="00B03C38">
              <w:fldChar w:fldCharType="begin"/>
            </w:r>
            <w:r w:rsidR="00B03C38">
              <w:instrText>PAGEREF _Toc389433 \h</w:instrText>
            </w:r>
            <w:r w:rsidR="00B03C38">
              <w:fldChar w:fldCharType="separate"/>
            </w:r>
            <w:r w:rsidR="00B03C38">
              <w:t xml:space="preserve">33 </w:t>
            </w:r>
            <w:r w:rsidR="00B03C38">
              <w:fldChar w:fldCharType="end"/>
            </w:r>
          </w:hyperlink>
        </w:p>
        <w:p w:rsidR="001C682A" w:rsidRDefault="002010BA">
          <w:pPr>
            <w:pStyle w:val="TOC4"/>
            <w:tabs>
              <w:tab w:val="right" w:leader="dot" w:pos="9060"/>
            </w:tabs>
          </w:pPr>
          <w:hyperlink w:anchor="_Toc389434">
            <w:r w:rsidR="00B03C38">
              <w:t>8.1.2</w:t>
            </w:r>
            <w:r w:rsidR="00B03C38">
              <w:rPr>
                <w:rFonts w:ascii="Arial" w:eastAsia="Arial" w:hAnsi="Arial" w:cs="Arial"/>
                <w:sz w:val="22"/>
              </w:rPr>
              <w:t xml:space="preserve">  </w:t>
            </w:r>
            <w:r w:rsidR="00B03C38">
              <w:t>Debt Service Payments</w:t>
            </w:r>
            <w:r w:rsidR="00B03C38">
              <w:tab/>
            </w:r>
            <w:r w:rsidR="00B03C38">
              <w:fldChar w:fldCharType="begin"/>
            </w:r>
            <w:r w:rsidR="00B03C38">
              <w:instrText>PAGEREF _Toc389434 \h</w:instrText>
            </w:r>
            <w:r w:rsidR="00B03C38">
              <w:fldChar w:fldCharType="separate"/>
            </w:r>
            <w:r w:rsidR="00B03C38">
              <w:t xml:space="preserve">34 </w:t>
            </w:r>
            <w:r w:rsidR="00B03C38">
              <w:fldChar w:fldCharType="end"/>
            </w:r>
          </w:hyperlink>
        </w:p>
        <w:p w:rsidR="001C682A" w:rsidRDefault="002010BA">
          <w:pPr>
            <w:pStyle w:val="TOC3"/>
            <w:tabs>
              <w:tab w:val="right" w:leader="dot" w:pos="9060"/>
            </w:tabs>
          </w:pPr>
          <w:hyperlink w:anchor="_Toc389435">
            <w:r w:rsidR="00B03C38">
              <w:t>8.2</w:t>
            </w:r>
            <w:r w:rsidR="00B03C38">
              <w:rPr>
                <w:rFonts w:ascii="Arial" w:eastAsia="Arial" w:hAnsi="Arial" w:cs="Arial"/>
                <w:b w:val="0"/>
              </w:rPr>
              <w:t xml:space="preserve">  </w:t>
            </w:r>
            <w:r w:rsidR="00B03C38">
              <w:t>Debt Management Strategy</w:t>
            </w:r>
            <w:r w:rsidR="00B03C38">
              <w:tab/>
            </w:r>
            <w:r w:rsidR="00B03C38">
              <w:fldChar w:fldCharType="begin"/>
            </w:r>
            <w:r w:rsidR="00B03C38">
              <w:instrText>PAGEREF _Toc389435 \h</w:instrText>
            </w:r>
            <w:r w:rsidR="00B03C38">
              <w:fldChar w:fldCharType="separate"/>
            </w:r>
            <w:r w:rsidR="00B03C38">
              <w:t xml:space="preserve">34 </w:t>
            </w:r>
            <w:r w:rsidR="00B03C38">
              <w:fldChar w:fldCharType="end"/>
            </w:r>
          </w:hyperlink>
        </w:p>
        <w:p w:rsidR="001C682A" w:rsidRDefault="002010BA">
          <w:pPr>
            <w:pStyle w:val="TOC3"/>
            <w:tabs>
              <w:tab w:val="right" w:leader="dot" w:pos="9060"/>
            </w:tabs>
          </w:pPr>
          <w:hyperlink w:anchor="_Toc389436">
            <w:r w:rsidR="00B03C38">
              <w:t>8.3</w:t>
            </w:r>
            <w:r w:rsidR="00B03C38">
              <w:rPr>
                <w:rFonts w:ascii="Arial" w:eastAsia="Arial" w:hAnsi="Arial" w:cs="Arial"/>
                <w:b w:val="0"/>
              </w:rPr>
              <w:t xml:space="preserve">  </w:t>
            </w:r>
            <w:r w:rsidR="00B03C38">
              <w:t>Nature and Fiscal Implications of Contingent Liabilities</w:t>
            </w:r>
            <w:r w:rsidR="00B03C38">
              <w:tab/>
            </w:r>
            <w:r w:rsidR="00B03C38">
              <w:fldChar w:fldCharType="begin"/>
            </w:r>
            <w:r w:rsidR="00B03C38">
              <w:instrText>PAGEREF _Toc389436 \h</w:instrText>
            </w:r>
            <w:r w:rsidR="00B03C38">
              <w:fldChar w:fldCharType="separate"/>
            </w:r>
            <w:r w:rsidR="00B03C38">
              <w:t xml:space="preserve">35 </w:t>
            </w:r>
            <w:r w:rsidR="00B03C38">
              <w:fldChar w:fldCharType="end"/>
            </w:r>
          </w:hyperlink>
        </w:p>
        <w:p w:rsidR="001C682A" w:rsidRDefault="002010BA">
          <w:pPr>
            <w:pStyle w:val="TOC2"/>
            <w:tabs>
              <w:tab w:val="right" w:leader="dot" w:pos="9060"/>
            </w:tabs>
          </w:pPr>
          <w:hyperlink w:anchor="_Toc389437">
            <w:r w:rsidR="00B03C38">
              <w:t>9.0</w:t>
            </w:r>
            <w:r w:rsidR="00B03C38">
              <w:rPr>
                <w:rFonts w:ascii="Arial" w:eastAsia="Arial" w:hAnsi="Arial" w:cs="Arial"/>
                <w:b w:val="0"/>
                <w:i w:val="0"/>
                <w:sz w:val="22"/>
              </w:rPr>
              <w:t xml:space="preserve"> </w:t>
            </w:r>
            <w:r w:rsidR="00B03C38">
              <w:t>Risks to the MEDIUM-TERM Outlook</w:t>
            </w:r>
            <w:r w:rsidR="00B03C38">
              <w:tab/>
            </w:r>
            <w:r w:rsidR="00B03C38">
              <w:fldChar w:fldCharType="begin"/>
            </w:r>
            <w:r w:rsidR="00B03C38">
              <w:instrText>PAGEREF _Toc389437 \h</w:instrText>
            </w:r>
            <w:r w:rsidR="00B03C38">
              <w:fldChar w:fldCharType="separate"/>
            </w:r>
            <w:r w:rsidR="00B03C38">
              <w:t xml:space="preserve">37 </w:t>
            </w:r>
            <w:r w:rsidR="00B03C38">
              <w:fldChar w:fldCharType="end"/>
            </w:r>
          </w:hyperlink>
        </w:p>
        <w:p w:rsidR="001C682A" w:rsidRDefault="002010BA">
          <w:pPr>
            <w:pStyle w:val="TOC3"/>
            <w:tabs>
              <w:tab w:val="right" w:leader="dot" w:pos="9060"/>
            </w:tabs>
          </w:pPr>
          <w:hyperlink w:anchor="_Toc389438">
            <w:r w:rsidR="00B03C38">
              <w:t>9.1</w:t>
            </w:r>
            <w:r w:rsidR="00B03C38">
              <w:rPr>
                <w:rFonts w:ascii="Arial" w:eastAsia="Arial" w:hAnsi="Arial" w:cs="Arial"/>
                <w:b w:val="0"/>
              </w:rPr>
              <w:t xml:space="preserve">  </w:t>
            </w:r>
            <w:r w:rsidR="00B03C38">
              <w:t>Global Economic Trends &amp; Geo-Political Tensions</w:t>
            </w:r>
            <w:r w:rsidR="00B03C38">
              <w:tab/>
            </w:r>
            <w:r w:rsidR="00B03C38">
              <w:fldChar w:fldCharType="begin"/>
            </w:r>
            <w:r w:rsidR="00B03C38">
              <w:instrText>PAGEREF _Toc389438 \h</w:instrText>
            </w:r>
            <w:r w:rsidR="00B03C38">
              <w:fldChar w:fldCharType="separate"/>
            </w:r>
            <w:r w:rsidR="00B03C38">
              <w:t xml:space="preserve">38 </w:t>
            </w:r>
            <w:r w:rsidR="00B03C38">
              <w:fldChar w:fldCharType="end"/>
            </w:r>
          </w:hyperlink>
        </w:p>
        <w:p w:rsidR="001C682A" w:rsidRDefault="002010BA">
          <w:pPr>
            <w:pStyle w:val="TOC3"/>
            <w:tabs>
              <w:tab w:val="right" w:leader="dot" w:pos="9060"/>
            </w:tabs>
          </w:pPr>
          <w:hyperlink w:anchor="_Toc389439">
            <w:r w:rsidR="00B03C38">
              <w:t>9.2</w:t>
            </w:r>
            <w:r w:rsidR="00B03C38">
              <w:rPr>
                <w:rFonts w:ascii="Arial" w:eastAsia="Arial" w:hAnsi="Arial" w:cs="Arial"/>
                <w:b w:val="0"/>
              </w:rPr>
              <w:t xml:space="preserve">  </w:t>
            </w:r>
            <w:r w:rsidR="00B03C38">
              <w:t>International Oil Market Developments</w:t>
            </w:r>
            <w:r w:rsidR="00B03C38">
              <w:tab/>
            </w:r>
            <w:r w:rsidR="00B03C38">
              <w:fldChar w:fldCharType="begin"/>
            </w:r>
            <w:r w:rsidR="00B03C38">
              <w:instrText>PAGEREF _Toc389439 \h</w:instrText>
            </w:r>
            <w:r w:rsidR="00B03C38">
              <w:fldChar w:fldCharType="separate"/>
            </w:r>
            <w:r w:rsidR="00B03C38">
              <w:t xml:space="preserve">38 </w:t>
            </w:r>
            <w:r w:rsidR="00B03C38">
              <w:fldChar w:fldCharType="end"/>
            </w:r>
          </w:hyperlink>
        </w:p>
        <w:p w:rsidR="001C682A" w:rsidRDefault="002010BA">
          <w:pPr>
            <w:pStyle w:val="TOC4"/>
            <w:tabs>
              <w:tab w:val="right" w:leader="dot" w:pos="9060"/>
            </w:tabs>
          </w:pPr>
          <w:hyperlink w:anchor="_Toc389440">
            <w:r w:rsidR="00B03C38">
              <w:t>9.2.1</w:t>
            </w:r>
            <w:r w:rsidR="00B03C38">
              <w:rPr>
                <w:rFonts w:ascii="Arial" w:eastAsia="Arial" w:hAnsi="Arial" w:cs="Arial"/>
                <w:sz w:val="22"/>
              </w:rPr>
              <w:t xml:space="preserve">  </w:t>
            </w:r>
            <w:r w:rsidR="00B03C38">
              <w:t>Oil Prices</w:t>
            </w:r>
            <w:r w:rsidR="00B03C38">
              <w:tab/>
            </w:r>
            <w:r w:rsidR="00B03C38">
              <w:fldChar w:fldCharType="begin"/>
            </w:r>
            <w:r w:rsidR="00B03C38">
              <w:instrText>PAGEREF _Toc389440 \h</w:instrText>
            </w:r>
            <w:r w:rsidR="00B03C38">
              <w:fldChar w:fldCharType="separate"/>
            </w:r>
            <w:r w:rsidR="00B03C38">
              <w:t xml:space="preserve">38 </w:t>
            </w:r>
            <w:r w:rsidR="00B03C38">
              <w:fldChar w:fldCharType="end"/>
            </w:r>
          </w:hyperlink>
        </w:p>
        <w:p w:rsidR="001C682A" w:rsidRDefault="002010BA">
          <w:pPr>
            <w:pStyle w:val="TOC4"/>
            <w:tabs>
              <w:tab w:val="right" w:leader="dot" w:pos="9060"/>
            </w:tabs>
          </w:pPr>
          <w:hyperlink w:anchor="_Toc389441">
            <w:r w:rsidR="00B03C38">
              <w:t>9.2.2</w:t>
            </w:r>
            <w:r w:rsidR="00B03C38">
              <w:rPr>
                <w:rFonts w:ascii="Arial" w:eastAsia="Arial" w:hAnsi="Arial" w:cs="Arial"/>
                <w:sz w:val="22"/>
              </w:rPr>
              <w:t xml:space="preserve">  </w:t>
            </w:r>
            <w:r w:rsidR="00B03C38">
              <w:t>Oil Demand &amp; Supply Risks</w:t>
            </w:r>
            <w:r w:rsidR="00B03C38">
              <w:tab/>
            </w:r>
            <w:r w:rsidR="00B03C38">
              <w:fldChar w:fldCharType="begin"/>
            </w:r>
            <w:r w:rsidR="00B03C38">
              <w:instrText>PAGEREF _Toc389441 \h</w:instrText>
            </w:r>
            <w:r w:rsidR="00B03C38">
              <w:fldChar w:fldCharType="separate"/>
            </w:r>
            <w:r w:rsidR="00B03C38">
              <w:t xml:space="preserve">39 </w:t>
            </w:r>
            <w:r w:rsidR="00B03C38">
              <w:fldChar w:fldCharType="end"/>
            </w:r>
          </w:hyperlink>
        </w:p>
        <w:p w:rsidR="001C682A" w:rsidRDefault="002010BA">
          <w:pPr>
            <w:pStyle w:val="TOC3"/>
            <w:tabs>
              <w:tab w:val="right" w:leader="dot" w:pos="9060"/>
            </w:tabs>
          </w:pPr>
          <w:hyperlink w:anchor="_Toc389442">
            <w:r w:rsidR="00B03C38">
              <w:t>9.3</w:t>
            </w:r>
            <w:r w:rsidR="00B03C38">
              <w:rPr>
                <w:rFonts w:ascii="Arial" w:eastAsia="Arial" w:hAnsi="Arial" w:cs="Arial"/>
                <w:b w:val="0"/>
              </w:rPr>
              <w:t xml:space="preserve">  </w:t>
            </w:r>
            <w:r w:rsidR="00B03C38">
              <w:t>Exchange Rate Risks</w:t>
            </w:r>
            <w:r w:rsidR="00B03C38">
              <w:tab/>
            </w:r>
            <w:r w:rsidR="00B03C38">
              <w:fldChar w:fldCharType="begin"/>
            </w:r>
            <w:r w:rsidR="00B03C38">
              <w:instrText>PAGEREF _Toc389442 \h</w:instrText>
            </w:r>
            <w:r w:rsidR="00B03C38">
              <w:fldChar w:fldCharType="separate"/>
            </w:r>
            <w:r w:rsidR="00B03C38">
              <w:t xml:space="preserve">39 </w:t>
            </w:r>
            <w:r w:rsidR="00B03C38">
              <w:fldChar w:fldCharType="end"/>
            </w:r>
          </w:hyperlink>
        </w:p>
        <w:p w:rsidR="001C682A" w:rsidRDefault="002010BA">
          <w:pPr>
            <w:pStyle w:val="TOC3"/>
            <w:tabs>
              <w:tab w:val="right" w:leader="dot" w:pos="9060"/>
            </w:tabs>
          </w:pPr>
          <w:hyperlink w:anchor="_Toc389443">
            <w:r w:rsidR="00B03C38">
              <w:t>9.4</w:t>
            </w:r>
            <w:r w:rsidR="00B03C38">
              <w:rPr>
                <w:rFonts w:ascii="Arial" w:eastAsia="Arial" w:hAnsi="Arial" w:cs="Arial"/>
                <w:b w:val="0"/>
              </w:rPr>
              <w:t xml:space="preserve">  </w:t>
            </w:r>
            <w:r w:rsidR="00B03C38">
              <w:t>Risks to Non-Oil Revenue</w:t>
            </w:r>
            <w:r w:rsidR="00B03C38">
              <w:tab/>
            </w:r>
            <w:r w:rsidR="00B03C38">
              <w:fldChar w:fldCharType="begin"/>
            </w:r>
            <w:r w:rsidR="00B03C38">
              <w:instrText>PAGEREF _Toc389443 \h</w:instrText>
            </w:r>
            <w:r w:rsidR="00B03C38">
              <w:fldChar w:fldCharType="separate"/>
            </w:r>
            <w:r w:rsidR="00B03C38">
              <w:t xml:space="preserve">39 </w:t>
            </w:r>
            <w:r w:rsidR="00B03C38">
              <w:fldChar w:fldCharType="end"/>
            </w:r>
          </w:hyperlink>
        </w:p>
        <w:p w:rsidR="001C682A" w:rsidRDefault="002010BA">
          <w:pPr>
            <w:pStyle w:val="TOC3"/>
            <w:tabs>
              <w:tab w:val="right" w:leader="dot" w:pos="9060"/>
            </w:tabs>
          </w:pPr>
          <w:hyperlink w:anchor="_Toc389444">
            <w:r w:rsidR="00B03C38">
              <w:t>9.5</w:t>
            </w:r>
            <w:r w:rsidR="00B03C38">
              <w:rPr>
                <w:rFonts w:ascii="Arial" w:eastAsia="Arial" w:hAnsi="Arial" w:cs="Arial"/>
                <w:b w:val="0"/>
              </w:rPr>
              <w:t xml:space="preserve">  </w:t>
            </w:r>
            <w:r w:rsidR="00B03C38">
              <w:t>Sensitivity of Budget aggregates to Macro-economic conditions</w:t>
            </w:r>
            <w:r w:rsidR="00B03C38">
              <w:tab/>
            </w:r>
            <w:r w:rsidR="00B03C38">
              <w:fldChar w:fldCharType="begin"/>
            </w:r>
            <w:r w:rsidR="00B03C38">
              <w:instrText>PAGEREF _Toc389444 \h</w:instrText>
            </w:r>
            <w:r w:rsidR="00B03C38">
              <w:fldChar w:fldCharType="separate"/>
            </w:r>
            <w:r w:rsidR="00B03C38">
              <w:t xml:space="preserve">40 </w:t>
            </w:r>
            <w:r w:rsidR="00B03C38">
              <w:fldChar w:fldCharType="end"/>
            </w:r>
          </w:hyperlink>
        </w:p>
        <w:p w:rsidR="001C682A" w:rsidRDefault="002010BA">
          <w:pPr>
            <w:pStyle w:val="TOC1"/>
            <w:tabs>
              <w:tab w:val="right" w:leader="dot" w:pos="9060"/>
            </w:tabs>
          </w:pPr>
          <w:hyperlink w:anchor="_Toc389445">
            <w:r w:rsidR="00B03C38">
              <w:t>10.     CONCLUSION</w:t>
            </w:r>
            <w:r w:rsidR="00B03C38">
              <w:tab/>
            </w:r>
            <w:r w:rsidR="00B03C38">
              <w:fldChar w:fldCharType="begin"/>
            </w:r>
            <w:r w:rsidR="00B03C38">
              <w:instrText>PAGEREF _Toc389445 \h</w:instrText>
            </w:r>
            <w:r w:rsidR="00B03C38">
              <w:fldChar w:fldCharType="separate"/>
            </w:r>
            <w:r w:rsidR="00B03C38">
              <w:t xml:space="preserve">43 </w:t>
            </w:r>
            <w:r w:rsidR="00B03C38">
              <w:fldChar w:fldCharType="end"/>
            </w:r>
          </w:hyperlink>
        </w:p>
        <w:p w:rsidR="001C682A" w:rsidRDefault="002010BA">
          <w:pPr>
            <w:pStyle w:val="TOC1"/>
            <w:tabs>
              <w:tab w:val="right" w:leader="dot" w:pos="9060"/>
            </w:tabs>
          </w:pPr>
          <w:hyperlink w:anchor="_Toc389446">
            <w:r w:rsidR="00B03C38">
              <w:rPr>
                <w:rFonts w:ascii="Arial" w:eastAsia="Arial" w:hAnsi="Arial" w:cs="Arial"/>
                <w:sz w:val="22"/>
              </w:rPr>
              <w:t>ANNEXURE 1: 2021 - 2023 Medium Term Fiscal Framework</w:t>
            </w:r>
            <w:r w:rsidR="00B03C38">
              <w:tab/>
            </w:r>
            <w:r w:rsidR="00B03C38">
              <w:fldChar w:fldCharType="begin"/>
            </w:r>
            <w:r w:rsidR="00B03C38">
              <w:instrText>PAGEREF _Toc389446 \h</w:instrText>
            </w:r>
            <w:r w:rsidR="00B03C38">
              <w:fldChar w:fldCharType="separate"/>
            </w:r>
            <w:r w:rsidR="00B03C38">
              <w:rPr>
                <w:rFonts w:ascii="Arial" w:eastAsia="Arial" w:hAnsi="Arial" w:cs="Arial"/>
                <w:sz w:val="22"/>
              </w:rPr>
              <w:t xml:space="preserve">45 </w:t>
            </w:r>
            <w:r w:rsidR="00B03C38">
              <w:fldChar w:fldCharType="end"/>
            </w:r>
          </w:hyperlink>
        </w:p>
        <w:p w:rsidR="001C682A" w:rsidRDefault="002010BA">
          <w:pPr>
            <w:pStyle w:val="TOC1"/>
            <w:tabs>
              <w:tab w:val="right" w:leader="dot" w:pos="9060"/>
            </w:tabs>
          </w:pPr>
          <w:hyperlink w:anchor="_Toc389447">
            <w:r w:rsidR="00B03C38">
              <w:rPr>
                <w:rFonts w:ascii="Arial" w:eastAsia="Arial" w:hAnsi="Arial" w:cs="Arial"/>
                <w:sz w:val="22"/>
              </w:rPr>
              <w:t>ANNEXURE 2: Tax Expenditures Statement Policy Overview 2019</w:t>
            </w:r>
            <w:r w:rsidR="00B03C38">
              <w:tab/>
            </w:r>
            <w:r w:rsidR="00B03C38">
              <w:fldChar w:fldCharType="begin"/>
            </w:r>
            <w:r w:rsidR="00B03C38">
              <w:instrText>PAGEREF _Toc389447 \h</w:instrText>
            </w:r>
            <w:r w:rsidR="00B03C38">
              <w:fldChar w:fldCharType="separate"/>
            </w:r>
            <w:r w:rsidR="00B03C38">
              <w:rPr>
                <w:rFonts w:ascii="Arial" w:eastAsia="Arial" w:hAnsi="Arial" w:cs="Arial"/>
                <w:sz w:val="22"/>
              </w:rPr>
              <w:t xml:space="preserve">50 </w:t>
            </w:r>
            <w:r w:rsidR="00B03C38">
              <w:fldChar w:fldCharType="end"/>
            </w:r>
          </w:hyperlink>
        </w:p>
        <w:p w:rsidR="001C682A" w:rsidRDefault="00B03C38">
          <w:r>
            <w:fldChar w:fldCharType="end"/>
          </w:r>
        </w:p>
      </w:sdtContent>
    </w:sdt>
    <w:p w:rsidR="00B03C38" w:rsidRDefault="00B03C38"/>
    <w:p w:rsidR="00B03C38" w:rsidRDefault="00B03C38"/>
    <w:p w:rsidR="00B03C38" w:rsidRDefault="00B03C38"/>
    <w:p w:rsidR="00B03C38" w:rsidRDefault="00B03C38"/>
    <w:p w:rsidR="00B03C38" w:rsidRDefault="00B03C38"/>
    <w:p w:rsidR="001C682A" w:rsidRDefault="00B03C38">
      <w:r>
        <w:lastRenderedPageBreak/>
        <w:t xml:space="preserve">The economic and fiscal estimates presented in the 2021-23 MTEF/FSP incorporate assumptions, narratives and judgments based on information available at the time of </w:t>
      </w:r>
    </w:p>
    <w:p w:rsidR="001C682A" w:rsidRDefault="00B03C38">
      <w:pPr>
        <w:ind w:left="96"/>
      </w:pPr>
      <w:r>
        <w:t xml:space="preserve">preparation. These estimates are subject to uncertainty. This MTEF/FSP provides details of </w:t>
      </w:r>
    </w:p>
    <w:p w:rsidR="001C682A" w:rsidRDefault="00B03C38">
      <w:pPr>
        <w:ind w:left="15"/>
      </w:pPr>
      <w:r>
        <w:t xml:space="preserve">the historical performance of Budget forecasts for the macroeconomic aggregates of real and </w:t>
      </w:r>
    </w:p>
    <w:p w:rsidR="001C682A" w:rsidRDefault="00B03C38">
      <w:pPr>
        <w:ind w:left="236"/>
      </w:pPr>
      <w:r>
        <w:t xml:space="preserve">nominal GDP, as well as for estimates of government revenues &amp; expenditure. The Fiscal </w:t>
      </w:r>
    </w:p>
    <w:p w:rsidR="001C682A" w:rsidRDefault="00B03C38">
      <w:pPr>
        <w:ind w:left="1052" w:hanging="574"/>
      </w:pPr>
      <w:r>
        <w:t xml:space="preserve">Strategy Paper also presents a number of economic forecasts / projections and key underlying assumptions as well as Government’s medium-term outlook. </w:t>
      </w:r>
    </w:p>
    <w:p w:rsidR="001C682A" w:rsidRDefault="00B03C38">
      <w:pPr>
        <w:spacing w:after="40" w:line="259" w:lineRule="auto"/>
        <w:ind w:left="64" w:firstLine="0"/>
        <w:jc w:val="center"/>
      </w:pPr>
      <w:r>
        <w:rPr>
          <w:rFonts w:ascii="Franklin Gothic Book" w:eastAsia="Franklin Gothic Book" w:hAnsi="Franklin Gothic Book" w:cs="Franklin Gothic Book"/>
          <w:sz w:val="24"/>
        </w:rPr>
        <w:t xml:space="preserve"> </w:t>
      </w:r>
    </w:p>
    <w:p w:rsidR="001C682A" w:rsidRDefault="00B03C38">
      <w:pPr>
        <w:spacing w:after="0" w:line="259" w:lineRule="auto"/>
        <w:ind w:left="83" w:firstLine="0"/>
        <w:jc w:val="center"/>
      </w:pPr>
      <w:r>
        <w:rPr>
          <w:rFonts w:ascii="Century Gothic" w:eastAsia="Century Gothic" w:hAnsi="Century Gothic" w:cs="Century Gothic"/>
          <w:b/>
          <w:color w:val="000080"/>
          <w:sz w:val="28"/>
        </w:rPr>
        <w:t xml:space="preserve"> </w:t>
      </w:r>
    </w:p>
    <w:p w:rsidR="001C682A" w:rsidRDefault="00B03C38">
      <w:pPr>
        <w:spacing w:after="0" w:line="259" w:lineRule="auto"/>
        <w:ind w:left="64" w:firstLine="0"/>
        <w:jc w:val="center"/>
      </w:pPr>
      <w:r>
        <w:rPr>
          <w:rFonts w:ascii="Franklin Gothic Book" w:eastAsia="Franklin Gothic Book" w:hAnsi="Franklin Gothic Book" w:cs="Franklin Gothic Book"/>
          <w:sz w:val="24"/>
        </w:rPr>
        <w:t xml:space="preserve"> </w:t>
      </w:r>
    </w:p>
    <w:p w:rsidR="001C682A" w:rsidRDefault="00B03C38">
      <w:pPr>
        <w:spacing w:after="26" w:line="259" w:lineRule="auto"/>
        <w:ind w:left="64" w:firstLine="0"/>
        <w:jc w:val="center"/>
      </w:pPr>
      <w:r>
        <w:rPr>
          <w:rFonts w:ascii="Franklin Gothic Book" w:eastAsia="Franklin Gothic Book" w:hAnsi="Franklin Gothic Book" w:cs="Franklin Gothic Book"/>
          <w:sz w:val="24"/>
        </w:rPr>
        <w:t xml:space="preserve"> </w:t>
      </w:r>
    </w:p>
    <w:p w:rsidR="001C682A" w:rsidRDefault="00B03C38">
      <w:pPr>
        <w:tabs>
          <w:tab w:val="center" w:pos="4531"/>
          <w:tab w:val="center" w:pos="10339"/>
        </w:tabs>
        <w:spacing w:after="0" w:line="259" w:lineRule="auto"/>
        <w:ind w:left="0" w:firstLine="0"/>
        <w:jc w:val="left"/>
      </w:pPr>
      <w:r>
        <w:rPr>
          <w:rFonts w:ascii="Calibri" w:eastAsia="Calibri" w:hAnsi="Calibri" w:cs="Calibri"/>
        </w:rPr>
        <w:tab/>
      </w:r>
      <w:r>
        <w:rPr>
          <w:rFonts w:ascii="Franklin Gothic Book" w:eastAsia="Franklin Gothic Book" w:hAnsi="Franklin Gothic Book" w:cs="Franklin Gothic Book"/>
          <w:sz w:val="24"/>
        </w:rPr>
        <w:t>This document is available at –</w:t>
      </w:r>
      <w:hyperlink r:id="rId10">
        <w:r>
          <w:rPr>
            <w:rFonts w:ascii="Franklin Gothic Book" w:eastAsia="Franklin Gothic Book" w:hAnsi="Franklin Gothic Book" w:cs="Franklin Gothic Book"/>
            <w:sz w:val="24"/>
          </w:rPr>
          <w:t xml:space="preserve"> </w:t>
        </w:r>
      </w:hyperlink>
      <w:hyperlink r:id="rId11">
        <w:r>
          <w:rPr>
            <w:rFonts w:ascii="Franklin Gothic Book" w:eastAsia="Franklin Gothic Book" w:hAnsi="Franklin Gothic Book" w:cs="Franklin Gothic Book"/>
            <w:sz w:val="24"/>
            <w:u w:val="single" w:color="000000"/>
          </w:rPr>
          <w:t>www.budgetoffice.gov,ng</w:t>
        </w:r>
      </w:hyperlink>
      <w:hyperlink r:id="rId12">
        <w:r>
          <w:rPr>
            <w:rFonts w:ascii="Franklin Gothic Book" w:eastAsia="Franklin Gothic Book" w:hAnsi="Franklin Gothic Book" w:cs="Franklin Gothic Book"/>
            <w:sz w:val="24"/>
          </w:rPr>
          <w:t xml:space="preserve"> </w:t>
        </w:r>
      </w:hyperlink>
      <w:r>
        <w:rPr>
          <w:sz w:val="24"/>
        </w:rPr>
        <w:t xml:space="preserve"> </w:t>
      </w:r>
      <w:r>
        <w:rPr>
          <w:sz w:val="24"/>
        </w:rPr>
        <w:tab/>
      </w:r>
      <w:r>
        <w:rPr>
          <w:rFonts w:ascii="Franklin Gothic Book" w:eastAsia="Franklin Gothic Book" w:hAnsi="Franklin Gothic Book" w:cs="Franklin Gothic Book"/>
          <w:sz w:val="24"/>
        </w:rPr>
        <w:t xml:space="preserve"> </w:t>
      </w:r>
      <w:r>
        <w:br w:type="page"/>
      </w:r>
    </w:p>
    <w:p w:rsidR="001C682A" w:rsidRDefault="00B03C38">
      <w:pPr>
        <w:spacing w:after="0" w:line="259" w:lineRule="auto"/>
        <w:ind w:left="-5"/>
        <w:jc w:val="left"/>
      </w:pPr>
      <w:r>
        <w:rPr>
          <w:rFonts w:ascii="Century Gothic" w:eastAsia="Century Gothic" w:hAnsi="Century Gothic" w:cs="Century Gothic"/>
          <w:b/>
          <w:color w:val="000080"/>
          <w:sz w:val="28"/>
        </w:rPr>
        <w:lastRenderedPageBreak/>
        <w:t>L</w:t>
      </w:r>
      <w:r>
        <w:rPr>
          <w:rFonts w:ascii="Century Gothic" w:eastAsia="Century Gothic" w:hAnsi="Century Gothic" w:cs="Century Gothic"/>
          <w:b/>
          <w:color w:val="000080"/>
        </w:rPr>
        <w:t xml:space="preserve">IST OF </w:t>
      </w:r>
      <w:r>
        <w:rPr>
          <w:rFonts w:ascii="Century Gothic" w:eastAsia="Century Gothic" w:hAnsi="Century Gothic" w:cs="Century Gothic"/>
          <w:b/>
          <w:color w:val="000080"/>
          <w:sz w:val="28"/>
        </w:rPr>
        <w:t>T</w:t>
      </w:r>
      <w:r>
        <w:rPr>
          <w:rFonts w:ascii="Century Gothic" w:eastAsia="Century Gothic" w:hAnsi="Century Gothic" w:cs="Century Gothic"/>
          <w:b/>
          <w:color w:val="000080"/>
        </w:rPr>
        <w:t>ABLES</w:t>
      </w:r>
      <w:r>
        <w:rPr>
          <w:rFonts w:ascii="Century Gothic" w:eastAsia="Century Gothic" w:hAnsi="Century Gothic" w:cs="Century Gothic"/>
          <w:b/>
          <w:color w:val="000080"/>
          <w:sz w:val="28"/>
        </w:rPr>
        <w:t xml:space="preserve"> </w:t>
      </w:r>
    </w:p>
    <w:p w:rsidR="001C682A" w:rsidRDefault="00B03C38">
      <w:pPr>
        <w:spacing w:after="249" w:line="259" w:lineRule="auto"/>
        <w:ind w:left="-29" w:right="-35" w:firstLine="0"/>
        <w:jc w:val="left"/>
      </w:pPr>
      <w:r>
        <w:rPr>
          <w:rFonts w:ascii="Calibri" w:eastAsia="Calibri" w:hAnsi="Calibri" w:cs="Calibri"/>
          <w:noProof/>
        </w:rPr>
        <mc:AlternateContent>
          <mc:Choice Requires="wpg">
            <w:drawing>
              <wp:inline distT="0" distB="0" distL="0" distR="0">
                <wp:extent cx="5793613" cy="18593"/>
                <wp:effectExtent l="0" t="0" r="0" b="0"/>
                <wp:docPr id="320257" name="Group 320257"/>
                <wp:cNvGraphicFramePr/>
                <a:graphic xmlns:a="http://schemas.openxmlformats.org/drawingml/2006/main">
                  <a:graphicData uri="http://schemas.microsoft.com/office/word/2010/wordprocessingGroup">
                    <wpg:wgp>
                      <wpg:cNvGrpSpPr/>
                      <wpg:grpSpPr>
                        <a:xfrm>
                          <a:off x="0" y="0"/>
                          <a:ext cx="5793613" cy="18593"/>
                          <a:chOff x="0" y="0"/>
                          <a:chExt cx="5793613" cy="18593"/>
                        </a:xfrm>
                      </wpg:grpSpPr>
                      <wps:wsp>
                        <wps:cNvPr id="395723" name="Shape 395723"/>
                        <wps:cNvSpPr/>
                        <wps:spPr>
                          <a:xfrm>
                            <a:off x="0" y="0"/>
                            <a:ext cx="5793613" cy="18593"/>
                          </a:xfrm>
                          <a:custGeom>
                            <a:avLst/>
                            <a:gdLst/>
                            <a:ahLst/>
                            <a:cxnLst/>
                            <a:rect l="0" t="0" r="0" b="0"/>
                            <a:pathLst>
                              <a:path w="5793613" h="18593">
                                <a:moveTo>
                                  <a:pt x="0" y="0"/>
                                </a:moveTo>
                                <a:lnTo>
                                  <a:pt x="5793613" y="0"/>
                                </a:lnTo>
                                <a:lnTo>
                                  <a:pt x="5793613" y="18593"/>
                                </a:lnTo>
                                <a:lnTo>
                                  <a:pt x="0" y="18593"/>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20257" style="width:456.19pt;height:1.46399pt;mso-position-horizontal-relative:char;mso-position-vertical-relative:line" coordsize="57936,185">
                <v:shape id="Shape 395724" style="position:absolute;width:57936;height:185;left:0;top:0;" coordsize="5793613,18593" path="m0,0l5793613,0l5793613,18593l0,18593l0,0">
                  <v:stroke weight="0pt" endcap="flat" joinstyle="miter" miterlimit="10" on="false" color="#000000" opacity="0"/>
                  <v:fill on="true" color="#000080"/>
                </v:shape>
              </v:group>
            </w:pict>
          </mc:Fallback>
        </mc:AlternateContent>
      </w:r>
    </w:p>
    <w:p w:rsidR="001C682A" w:rsidRDefault="00B03C38">
      <w:pPr>
        <w:tabs>
          <w:tab w:val="center" w:pos="2127"/>
          <w:tab w:val="right" w:pos="9060"/>
        </w:tabs>
        <w:ind w:left="0" w:firstLine="0"/>
        <w:jc w:val="left"/>
      </w:pPr>
      <w:r>
        <w:t xml:space="preserve">2.1 </w:t>
      </w:r>
      <w:r>
        <w:tab/>
        <w:t xml:space="preserve">Global Economic Growth (%) </w:t>
      </w:r>
      <w:r>
        <w:tab/>
        <w:t xml:space="preserve">2 </w:t>
      </w:r>
    </w:p>
    <w:p w:rsidR="001C682A" w:rsidRDefault="00B03C38">
      <w:pPr>
        <w:tabs>
          <w:tab w:val="center" w:pos="3767"/>
          <w:tab w:val="right" w:pos="9060"/>
        </w:tabs>
        <w:ind w:left="0" w:firstLine="0"/>
        <w:jc w:val="left"/>
      </w:pPr>
      <w:r>
        <w:t xml:space="preserve">3.1 </w:t>
      </w:r>
      <w:r>
        <w:tab/>
        <w:t xml:space="preserve">Performance of Selected Indicators and Key Parameters, 2019 </w:t>
      </w:r>
      <w:r>
        <w:tab/>
        <w:t xml:space="preserve">7 </w:t>
      </w:r>
    </w:p>
    <w:p w:rsidR="001C682A" w:rsidRDefault="00B03C38">
      <w:pPr>
        <w:tabs>
          <w:tab w:val="center" w:pos="2612"/>
          <w:tab w:val="right" w:pos="9060"/>
        </w:tabs>
        <w:ind w:left="0" w:firstLine="0"/>
        <w:jc w:val="left"/>
      </w:pPr>
      <w:r>
        <w:t xml:space="preserve">3.2 </w:t>
      </w:r>
      <w:r>
        <w:tab/>
        <w:t xml:space="preserve">Oil &amp; Non-Oil Revenue Profile FY 2019 </w:t>
      </w:r>
      <w:r>
        <w:tab/>
        <w:t xml:space="preserve">8 </w:t>
      </w:r>
    </w:p>
    <w:p w:rsidR="001C682A" w:rsidRDefault="00B03C38">
      <w:pPr>
        <w:tabs>
          <w:tab w:val="center" w:pos="3681"/>
          <w:tab w:val="right" w:pos="9060"/>
        </w:tabs>
        <w:ind w:left="0" w:firstLine="0"/>
        <w:jc w:val="left"/>
      </w:pPr>
      <w:r>
        <w:t xml:space="preserve">3.3 </w:t>
      </w:r>
      <w:r>
        <w:tab/>
        <w:t xml:space="preserve">Federation Account Revenue and VAT Distributable FY 2019 </w:t>
      </w:r>
      <w:r>
        <w:tab/>
        <w:t xml:space="preserve">8 </w:t>
      </w:r>
    </w:p>
    <w:p w:rsidR="001C682A" w:rsidRDefault="00B03C38">
      <w:pPr>
        <w:tabs>
          <w:tab w:val="center" w:pos="2701"/>
          <w:tab w:val="right" w:pos="9060"/>
        </w:tabs>
        <w:ind w:left="0" w:firstLine="0"/>
        <w:jc w:val="left"/>
      </w:pPr>
      <w:r>
        <w:t xml:space="preserve">3.4 </w:t>
      </w:r>
      <w:r>
        <w:tab/>
        <w:t>FGN Revenue Profile FY 2019 (</w:t>
      </w:r>
      <w:proofErr w:type="spellStart"/>
      <w:r>
        <w:t>N’Billion</w:t>
      </w:r>
      <w:proofErr w:type="spellEnd"/>
      <w:r>
        <w:t xml:space="preserve">) </w:t>
      </w:r>
      <w:r>
        <w:tab/>
        <w:t xml:space="preserve">9 </w:t>
      </w:r>
    </w:p>
    <w:p w:rsidR="001C682A" w:rsidRDefault="00B03C38">
      <w:pPr>
        <w:tabs>
          <w:tab w:val="center" w:pos="2901"/>
          <w:tab w:val="right" w:pos="9060"/>
        </w:tabs>
        <w:ind w:left="0" w:firstLine="0"/>
        <w:jc w:val="left"/>
      </w:pPr>
      <w:r>
        <w:t xml:space="preserve">3.5 </w:t>
      </w:r>
      <w:r>
        <w:tab/>
        <w:t>FGN Expenditure Outturn FY 2019 (</w:t>
      </w:r>
      <w:proofErr w:type="spellStart"/>
      <w:r>
        <w:t>N’Billion</w:t>
      </w:r>
      <w:proofErr w:type="spellEnd"/>
      <w:r>
        <w:t xml:space="preserve">) </w:t>
      </w:r>
      <w:r>
        <w:tab/>
        <w:t xml:space="preserve">9 </w:t>
      </w:r>
    </w:p>
    <w:p w:rsidR="001C682A" w:rsidRDefault="00B03C38">
      <w:pPr>
        <w:tabs>
          <w:tab w:val="center" w:pos="2642"/>
          <w:tab w:val="right" w:pos="9060"/>
        </w:tabs>
        <w:ind w:left="0" w:firstLine="0"/>
        <w:jc w:val="left"/>
      </w:pPr>
      <w:proofErr w:type="gramStart"/>
      <w:r>
        <w:t xml:space="preserve">4.1  </w:t>
      </w:r>
      <w:r>
        <w:tab/>
      </w:r>
      <w:proofErr w:type="gramEnd"/>
      <w:r>
        <w:t xml:space="preserve">Revenue Performance (Jan- May) 2020 </w:t>
      </w:r>
      <w:r>
        <w:tab/>
        <w:t xml:space="preserve">10 </w:t>
      </w:r>
    </w:p>
    <w:p w:rsidR="001C682A" w:rsidRDefault="00B03C38">
      <w:pPr>
        <w:tabs>
          <w:tab w:val="center" w:pos="3541"/>
          <w:tab w:val="right" w:pos="9060"/>
        </w:tabs>
        <w:ind w:left="0" w:firstLine="0"/>
        <w:jc w:val="left"/>
      </w:pPr>
      <w:r>
        <w:t xml:space="preserve">4.2 </w:t>
      </w:r>
      <w:r>
        <w:tab/>
        <w:t xml:space="preserve">Federation Account Revenue and VAT Distributable, 2020 </w:t>
      </w:r>
      <w:r>
        <w:tab/>
        <w:t xml:space="preserve">10 </w:t>
      </w:r>
    </w:p>
    <w:p w:rsidR="001C682A" w:rsidRDefault="00B03C38">
      <w:pPr>
        <w:tabs>
          <w:tab w:val="center" w:pos="2556"/>
          <w:tab w:val="right" w:pos="9060"/>
        </w:tabs>
        <w:ind w:left="0" w:firstLine="0"/>
        <w:jc w:val="left"/>
      </w:pPr>
      <w:r>
        <w:t xml:space="preserve">4.3 </w:t>
      </w:r>
      <w:r>
        <w:tab/>
        <w:t xml:space="preserve">FGN Revenue Profile (Jan-May) 2020 </w:t>
      </w:r>
      <w:r>
        <w:tab/>
        <w:t xml:space="preserve">11 </w:t>
      </w:r>
    </w:p>
    <w:p w:rsidR="001C682A" w:rsidRDefault="00B03C38">
      <w:pPr>
        <w:tabs>
          <w:tab w:val="center" w:pos="3021"/>
          <w:tab w:val="right" w:pos="9060"/>
        </w:tabs>
        <w:ind w:left="0" w:firstLine="0"/>
        <w:jc w:val="left"/>
      </w:pPr>
      <w:proofErr w:type="gramStart"/>
      <w:r>
        <w:t xml:space="preserve">4.4  </w:t>
      </w:r>
      <w:r>
        <w:tab/>
      </w:r>
      <w:proofErr w:type="gramEnd"/>
      <w:r>
        <w:t xml:space="preserve">FGN Expenditure Performance (Jan-May) 2020 </w:t>
      </w:r>
      <w:r>
        <w:tab/>
        <w:t xml:space="preserve">11 </w:t>
      </w:r>
    </w:p>
    <w:p w:rsidR="001C682A" w:rsidRDefault="00B03C38">
      <w:pPr>
        <w:tabs>
          <w:tab w:val="center" w:pos="3674"/>
          <w:tab w:val="right" w:pos="9060"/>
        </w:tabs>
        <w:ind w:left="0" w:firstLine="0"/>
        <w:jc w:val="left"/>
      </w:pPr>
      <w:r>
        <w:t xml:space="preserve">6.1 </w:t>
      </w:r>
      <w:r>
        <w:tab/>
        <w:t xml:space="preserve">Key Parameters &amp; Macroeconomic Projections (2021 - 2023) </w:t>
      </w:r>
      <w:r>
        <w:tab/>
        <w:t xml:space="preserve">15 </w:t>
      </w:r>
    </w:p>
    <w:p w:rsidR="001C682A" w:rsidRDefault="00B03C38">
      <w:pPr>
        <w:tabs>
          <w:tab w:val="center" w:pos="3339"/>
          <w:tab w:val="right" w:pos="9060"/>
        </w:tabs>
        <w:ind w:left="0" w:firstLine="0"/>
        <w:jc w:val="left"/>
      </w:pPr>
      <w:r>
        <w:t xml:space="preserve">6.2 </w:t>
      </w:r>
      <w:r>
        <w:tab/>
        <w:t xml:space="preserve">Federation Account and VAT Revenues (2021 - 2023) </w:t>
      </w:r>
      <w:r>
        <w:tab/>
        <w:t xml:space="preserve">17 </w:t>
      </w:r>
    </w:p>
    <w:p w:rsidR="001C682A" w:rsidRDefault="00B03C38">
      <w:pPr>
        <w:tabs>
          <w:tab w:val="center" w:pos="2525"/>
          <w:tab w:val="right" w:pos="9060"/>
        </w:tabs>
        <w:ind w:left="0" w:firstLine="0"/>
        <w:jc w:val="left"/>
      </w:pPr>
      <w:proofErr w:type="gramStart"/>
      <w:r>
        <w:t xml:space="preserve">6.3  </w:t>
      </w:r>
      <w:r>
        <w:tab/>
      </w:r>
      <w:proofErr w:type="gramEnd"/>
      <w:r>
        <w:t xml:space="preserve">Overview of the Revenue Framework </w:t>
      </w:r>
      <w:r>
        <w:tab/>
        <w:t xml:space="preserve">17 </w:t>
      </w:r>
    </w:p>
    <w:p w:rsidR="001C682A" w:rsidRDefault="00B03C38">
      <w:proofErr w:type="gramStart"/>
      <w:r>
        <w:t>6.4  Overview</w:t>
      </w:r>
      <w:proofErr w:type="gramEnd"/>
      <w:r>
        <w:t xml:space="preserve"> of the Expenditure Framework 19 6.5  Deficit, Financing and Critical Ratios 20 </w:t>
      </w:r>
    </w:p>
    <w:p w:rsidR="001C682A" w:rsidRDefault="00B03C38">
      <w:pPr>
        <w:tabs>
          <w:tab w:val="center" w:pos="1980"/>
          <w:tab w:val="right" w:pos="9060"/>
        </w:tabs>
        <w:ind w:left="0" w:firstLine="0"/>
        <w:jc w:val="left"/>
      </w:pPr>
      <w:r>
        <w:t xml:space="preserve">7.1 </w:t>
      </w:r>
      <w:r>
        <w:tab/>
        <w:t xml:space="preserve">Selected Macro </w:t>
      </w:r>
      <w:proofErr w:type="gramStart"/>
      <w:r>
        <w:t xml:space="preserve">Indicators  </w:t>
      </w:r>
      <w:r>
        <w:tab/>
      </w:r>
      <w:proofErr w:type="gramEnd"/>
      <w:r>
        <w:t xml:space="preserve">30 </w:t>
      </w:r>
    </w:p>
    <w:p w:rsidR="001C682A" w:rsidRDefault="00B03C38">
      <w:pPr>
        <w:tabs>
          <w:tab w:val="center" w:pos="2678"/>
          <w:tab w:val="right" w:pos="9060"/>
        </w:tabs>
        <w:ind w:left="0" w:firstLine="0"/>
        <w:jc w:val="left"/>
      </w:pPr>
      <w:r>
        <w:t xml:space="preserve">8.1 </w:t>
      </w:r>
      <w:r>
        <w:tab/>
        <w:t xml:space="preserve">FGN Contingent Liabilities (2018 - 2023) </w:t>
      </w:r>
      <w:r>
        <w:tab/>
        <w:t xml:space="preserve">36 </w:t>
      </w:r>
    </w:p>
    <w:p w:rsidR="001C682A" w:rsidRDefault="00B03C38">
      <w:pPr>
        <w:tabs>
          <w:tab w:val="center" w:pos="3137"/>
          <w:tab w:val="right" w:pos="9060"/>
        </w:tabs>
        <w:spacing w:after="27"/>
        <w:ind w:left="0" w:firstLine="0"/>
        <w:jc w:val="left"/>
      </w:pPr>
      <w:r>
        <w:t xml:space="preserve">9.1 </w:t>
      </w:r>
      <w:r>
        <w:tab/>
        <w:t xml:space="preserve">Risks Likelihood, Impact and Mitigation Strategies </w:t>
      </w:r>
      <w:r>
        <w:tab/>
        <w:t xml:space="preserve">41 </w:t>
      </w:r>
    </w:p>
    <w:p w:rsidR="001C682A" w:rsidRDefault="00B03C38">
      <w:pPr>
        <w:spacing w:after="556" w:line="259" w:lineRule="auto"/>
        <w:ind w:left="0" w:firstLine="0"/>
        <w:jc w:val="left"/>
      </w:pPr>
      <w:r>
        <w:rPr>
          <w:rFonts w:ascii="Franklin Gothic Book" w:eastAsia="Franklin Gothic Book" w:hAnsi="Franklin Gothic Book" w:cs="Franklin Gothic Book"/>
          <w:sz w:val="24"/>
        </w:rPr>
        <w:t xml:space="preserve"> </w:t>
      </w:r>
    </w:p>
    <w:p w:rsidR="001C682A" w:rsidRDefault="00B03C38">
      <w:pPr>
        <w:spacing w:after="0" w:line="259" w:lineRule="auto"/>
        <w:ind w:left="-5"/>
        <w:jc w:val="left"/>
      </w:pPr>
      <w:r>
        <w:rPr>
          <w:rFonts w:ascii="Century Gothic" w:eastAsia="Century Gothic" w:hAnsi="Century Gothic" w:cs="Century Gothic"/>
          <w:b/>
          <w:color w:val="000080"/>
          <w:sz w:val="28"/>
        </w:rPr>
        <w:t>L</w:t>
      </w:r>
      <w:r>
        <w:rPr>
          <w:rFonts w:ascii="Century Gothic" w:eastAsia="Century Gothic" w:hAnsi="Century Gothic" w:cs="Century Gothic"/>
          <w:b/>
          <w:color w:val="000080"/>
        </w:rPr>
        <w:t xml:space="preserve">IST OF </w:t>
      </w:r>
      <w:r>
        <w:rPr>
          <w:rFonts w:ascii="Century Gothic" w:eastAsia="Century Gothic" w:hAnsi="Century Gothic" w:cs="Century Gothic"/>
          <w:b/>
          <w:color w:val="000080"/>
          <w:sz w:val="28"/>
        </w:rPr>
        <w:t>F</w:t>
      </w:r>
      <w:r>
        <w:rPr>
          <w:rFonts w:ascii="Century Gothic" w:eastAsia="Century Gothic" w:hAnsi="Century Gothic" w:cs="Century Gothic"/>
          <w:b/>
          <w:color w:val="000080"/>
        </w:rPr>
        <w:t>IGURES</w:t>
      </w:r>
      <w:r>
        <w:rPr>
          <w:rFonts w:ascii="Century Gothic" w:eastAsia="Century Gothic" w:hAnsi="Century Gothic" w:cs="Century Gothic"/>
          <w:b/>
          <w:color w:val="000080"/>
          <w:sz w:val="28"/>
        </w:rPr>
        <w:t xml:space="preserve"> </w:t>
      </w:r>
    </w:p>
    <w:p w:rsidR="001C682A" w:rsidRDefault="00B03C38">
      <w:pPr>
        <w:spacing w:after="250" w:line="259" w:lineRule="auto"/>
        <w:ind w:left="-29" w:right="-35" w:firstLine="0"/>
        <w:jc w:val="left"/>
      </w:pPr>
      <w:r>
        <w:rPr>
          <w:rFonts w:ascii="Calibri" w:eastAsia="Calibri" w:hAnsi="Calibri" w:cs="Calibri"/>
          <w:noProof/>
        </w:rPr>
        <mc:AlternateContent>
          <mc:Choice Requires="wpg">
            <w:drawing>
              <wp:inline distT="0" distB="0" distL="0" distR="0">
                <wp:extent cx="5793613" cy="18288"/>
                <wp:effectExtent l="0" t="0" r="0" b="0"/>
                <wp:docPr id="320258" name="Group 320258"/>
                <wp:cNvGraphicFramePr/>
                <a:graphic xmlns:a="http://schemas.openxmlformats.org/drawingml/2006/main">
                  <a:graphicData uri="http://schemas.microsoft.com/office/word/2010/wordprocessingGroup">
                    <wpg:wgp>
                      <wpg:cNvGrpSpPr/>
                      <wpg:grpSpPr>
                        <a:xfrm>
                          <a:off x="0" y="0"/>
                          <a:ext cx="5793613" cy="18288"/>
                          <a:chOff x="0" y="0"/>
                          <a:chExt cx="5793613" cy="18288"/>
                        </a:xfrm>
                      </wpg:grpSpPr>
                      <wps:wsp>
                        <wps:cNvPr id="395725" name="Shape 395725"/>
                        <wps:cNvSpPr/>
                        <wps:spPr>
                          <a:xfrm>
                            <a:off x="0" y="0"/>
                            <a:ext cx="5793613" cy="18288"/>
                          </a:xfrm>
                          <a:custGeom>
                            <a:avLst/>
                            <a:gdLst/>
                            <a:ahLst/>
                            <a:cxnLst/>
                            <a:rect l="0" t="0" r="0" b="0"/>
                            <a:pathLst>
                              <a:path w="5793613" h="18288">
                                <a:moveTo>
                                  <a:pt x="0" y="0"/>
                                </a:moveTo>
                                <a:lnTo>
                                  <a:pt x="5793613" y="0"/>
                                </a:lnTo>
                                <a:lnTo>
                                  <a:pt x="5793613" y="18288"/>
                                </a:lnTo>
                                <a:lnTo>
                                  <a:pt x="0" y="1828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20258" style="width:456.19pt;height:1.44pt;mso-position-horizontal-relative:char;mso-position-vertical-relative:line" coordsize="57936,182">
                <v:shape id="Shape 395726" style="position:absolute;width:57936;height:182;left:0;top:0;" coordsize="5793613,18288" path="m0,0l5793613,0l5793613,18288l0,18288l0,0">
                  <v:stroke weight="0pt" endcap="flat" joinstyle="miter" miterlimit="10" on="false" color="#000000" opacity="0"/>
                  <v:fill on="true" color="#000080"/>
                </v:shape>
              </v:group>
            </w:pict>
          </mc:Fallback>
        </mc:AlternateContent>
      </w:r>
    </w:p>
    <w:p w:rsidR="001C682A" w:rsidRDefault="00B03C38">
      <w:pPr>
        <w:tabs>
          <w:tab w:val="center" w:pos="2844"/>
          <w:tab w:val="right" w:pos="9060"/>
        </w:tabs>
        <w:ind w:left="0" w:firstLine="0"/>
        <w:jc w:val="left"/>
      </w:pPr>
      <w:r>
        <w:t xml:space="preserve">2.1 </w:t>
      </w:r>
      <w:r>
        <w:tab/>
        <w:t xml:space="preserve">Real GDP Growth Rates 2014Q1 – 2020Q1 </w:t>
      </w:r>
      <w:r>
        <w:tab/>
        <w:t xml:space="preserve">3 </w:t>
      </w:r>
    </w:p>
    <w:p w:rsidR="001C682A" w:rsidRDefault="00B03C38">
      <w:pPr>
        <w:tabs>
          <w:tab w:val="center" w:pos="3503"/>
          <w:tab w:val="right" w:pos="9060"/>
        </w:tabs>
        <w:ind w:left="0" w:firstLine="0"/>
        <w:jc w:val="left"/>
      </w:pPr>
      <w:r>
        <w:t xml:space="preserve">2.2 </w:t>
      </w:r>
      <w:r>
        <w:tab/>
        <w:t xml:space="preserve">Sectoral Quarterly GDP Growth Rates 2014Q1 – 2020Q1 </w:t>
      </w:r>
      <w:r>
        <w:tab/>
        <w:t xml:space="preserve">3 </w:t>
      </w:r>
    </w:p>
    <w:p w:rsidR="001C682A" w:rsidRDefault="00B03C38">
      <w:pPr>
        <w:tabs>
          <w:tab w:val="center" w:pos="3479"/>
          <w:tab w:val="right" w:pos="9060"/>
        </w:tabs>
        <w:ind w:left="0" w:firstLine="0"/>
        <w:jc w:val="left"/>
      </w:pPr>
      <w:r>
        <w:t xml:space="preserve">2.3 </w:t>
      </w:r>
      <w:r>
        <w:tab/>
        <w:t xml:space="preserve">Unemployment and underemployment Rate 2010 – 2018 </w:t>
      </w:r>
      <w:r>
        <w:tab/>
        <w:t xml:space="preserve">4 </w:t>
      </w:r>
    </w:p>
    <w:p w:rsidR="001C682A" w:rsidRDefault="00B03C38">
      <w:r>
        <w:t xml:space="preserve">2.4 Inflation Rate 2014 – May 2020 </w:t>
      </w:r>
      <w:r>
        <w:tab/>
        <w:t xml:space="preserve">4 2.5 Exchange Rate 2015 – May 2020 </w:t>
      </w:r>
      <w:r>
        <w:tab/>
        <w:t xml:space="preserve">5 </w:t>
      </w:r>
    </w:p>
    <w:p w:rsidR="001C682A" w:rsidRDefault="00B03C38">
      <w:r>
        <w:t xml:space="preserve">2.6 Money Market Rate 2015 – May 2020 5 2.7 Foreign Trade (Q1 2008 – Q1 2020) </w:t>
      </w:r>
      <w:r>
        <w:tab/>
        <w:t xml:space="preserve">6 </w:t>
      </w:r>
    </w:p>
    <w:p w:rsidR="001C682A" w:rsidRDefault="00B03C38">
      <w:pPr>
        <w:tabs>
          <w:tab w:val="right" w:pos="9060"/>
        </w:tabs>
        <w:ind w:left="0" w:firstLine="0"/>
        <w:jc w:val="left"/>
      </w:pPr>
      <w:r>
        <w:t>2.8      External Reserves (June 2016 - May 2020</w:t>
      </w:r>
      <w:proofErr w:type="gramStart"/>
      <w:r>
        <w:t xml:space="preserve">)  </w:t>
      </w:r>
      <w:r>
        <w:tab/>
      </w:r>
      <w:proofErr w:type="gramEnd"/>
      <w:r>
        <w:t xml:space="preserve">6 </w:t>
      </w:r>
    </w:p>
    <w:p w:rsidR="001C682A" w:rsidRDefault="00B03C38">
      <w:pPr>
        <w:tabs>
          <w:tab w:val="center" w:pos="2788"/>
          <w:tab w:val="right" w:pos="9060"/>
        </w:tabs>
        <w:ind w:left="0" w:firstLine="0"/>
        <w:jc w:val="left"/>
      </w:pPr>
      <w:r>
        <w:t xml:space="preserve">5.1 </w:t>
      </w:r>
      <w:r>
        <w:tab/>
        <w:t xml:space="preserve">Crude Oil Production and Export in Nigeria </w:t>
      </w:r>
      <w:r>
        <w:tab/>
        <w:t xml:space="preserve">12 </w:t>
      </w:r>
    </w:p>
    <w:p w:rsidR="001C682A" w:rsidRDefault="00B03C38">
      <w:r>
        <w:t xml:space="preserve">5.2 Medium-Term Oil Demand Outlook </w:t>
      </w:r>
      <w:r>
        <w:tab/>
        <w:t xml:space="preserve">13 5.3 Medium-Term Oil Supply Outlook </w:t>
      </w:r>
      <w:r>
        <w:tab/>
        <w:t xml:space="preserve">13 </w:t>
      </w:r>
    </w:p>
    <w:p w:rsidR="001C682A" w:rsidRDefault="00B03C38">
      <w:pPr>
        <w:tabs>
          <w:tab w:val="center" w:pos="3406"/>
          <w:tab w:val="right" w:pos="9060"/>
        </w:tabs>
        <w:ind w:left="0" w:firstLine="0"/>
        <w:jc w:val="left"/>
      </w:pPr>
      <w:r>
        <w:t xml:space="preserve">5.4 </w:t>
      </w:r>
      <w:r>
        <w:tab/>
        <w:t>Unplanned OPEC Crude Oil Supply Disruptions (</w:t>
      </w:r>
      <w:proofErr w:type="spellStart"/>
      <w:r>
        <w:t>mbpd</w:t>
      </w:r>
      <w:proofErr w:type="spellEnd"/>
      <w:r>
        <w:t xml:space="preserve">) </w:t>
      </w:r>
      <w:r>
        <w:tab/>
        <w:t xml:space="preserve">13 </w:t>
      </w:r>
    </w:p>
    <w:p w:rsidR="001C682A" w:rsidRDefault="00B03C38">
      <w:r>
        <w:t xml:space="preserve">5.5 Bonny Light Crude Oil Price (Moving averages versus benchmark price) 13 8.1 Trend in Nigeria’s Total Public Debt (2014 – 2020) 34 </w:t>
      </w:r>
    </w:p>
    <w:p w:rsidR="001C682A" w:rsidRDefault="00B03C38">
      <w:pPr>
        <w:tabs>
          <w:tab w:val="center" w:pos="2574"/>
          <w:tab w:val="right" w:pos="9060"/>
        </w:tabs>
        <w:spacing w:after="48"/>
        <w:ind w:left="0" w:firstLine="0"/>
        <w:jc w:val="left"/>
      </w:pPr>
      <w:r>
        <w:t xml:space="preserve">8.2 </w:t>
      </w:r>
      <w:r>
        <w:tab/>
        <w:t xml:space="preserve">Debt Service Payments (2014 – 2020) </w:t>
      </w:r>
      <w:r>
        <w:tab/>
        <w:t xml:space="preserve">34 </w:t>
      </w:r>
    </w:p>
    <w:p w:rsidR="001C682A" w:rsidRDefault="00B03C38">
      <w:pPr>
        <w:spacing w:after="0" w:line="259" w:lineRule="auto"/>
        <w:ind w:left="0" w:firstLine="0"/>
        <w:jc w:val="left"/>
        <w:rPr>
          <w:rFonts w:ascii="Franklin Gothic Book" w:eastAsia="Franklin Gothic Book" w:hAnsi="Franklin Gothic Book" w:cs="Franklin Gothic Book"/>
          <w:sz w:val="24"/>
        </w:rPr>
      </w:pPr>
      <w:r>
        <w:rPr>
          <w:sz w:val="24"/>
        </w:rPr>
        <w:t xml:space="preserve"> </w:t>
      </w:r>
      <w:r>
        <w:rPr>
          <w:sz w:val="24"/>
        </w:rPr>
        <w:tab/>
      </w:r>
      <w:r>
        <w:rPr>
          <w:rFonts w:ascii="Franklin Gothic Book" w:eastAsia="Franklin Gothic Book" w:hAnsi="Franklin Gothic Book" w:cs="Franklin Gothic Book"/>
          <w:sz w:val="24"/>
        </w:rPr>
        <w:t xml:space="preserve"> </w:t>
      </w:r>
    </w:p>
    <w:p w:rsidR="00B03C38" w:rsidRDefault="00B03C38">
      <w:pPr>
        <w:spacing w:after="0" w:line="259" w:lineRule="auto"/>
        <w:ind w:left="0" w:firstLine="0"/>
        <w:jc w:val="left"/>
      </w:pPr>
    </w:p>
    <w:p w:rsidR="00B03C38" w:rsidRDefault="00B03C38">
      <w:pPr>
        <w:spacing w:after="0" w:line="259" w:lineRule="auto"/>
        <w:ind w:left="0" w:firstLine="0"/>
        <w:jc w:val="left"/>
      </w:pPr>
    </w:p>
    <w:p w:rsidR="00B03C38" w:rsidRDefault="00B03C38">
      <w:pPr>
        <w:spacing w:after="0" w:line="259" w:lineRule="auto"/>
        <w:ind w:left="0" w:firstLine="0"/>
        <w:jc w:val="left"/>
      </w:pPr>
    </w:p>
    <w:p w:rsidR="00B03C38" w:rsidRDefault="00B03C38">
      <w:pPr>
        <w:spacing w:after="0" w:line="259" w:lineRule="auto"/>
        <w:ind w:left="0" w:firstLine="0"/>
        <w:jc w:val="left"/>
      </w:pPr>
    </w:p>
    <w:p w:rsidR="00B03C38" w:rsidRDefault="00B03C38">
      <w:pPr>
        <w:spacing w:after="0" w:line="259" w:lineRule="auto"/>
        <w:ind w:left="0" w:firstLine="0"/>
        <w:jc w:val="left"/>
      </w:pPr>
    </w:p>
    <w:p w:rsidR="00B03C38" w:rsidRDefault="00B03C38">
      <w:pPr>
        <w:spacing w:after="0" w:line="259" w:lineRule="auto"/>
        <w:ind w:left="0" w:firstLine="0"/>
        <w:jc w:val="left"/>
      </w:pPr>
    </w:p>
    <w:p w:rsidR="00B03C38" w:rsidRDefault="00B03C38">
      <w:pPr>
        <w:spacing w:after="0" w:line="259" w:lineRule="auto"/>
        <w:ind w:left="0" w:firstLine="0"/>
        <w:jc w:val="left"/>
      </w:pPr>
    </w:p>
    <w:p w:rsidR="00B03C38" w:rsidRDefault="00B03C38">
      <w:pPr>
        <w:spacing w:after="0" w:line="259" w:lineRule="auto"/>
        <w:ind w:left="0" w:firstLine="0"/>
        <w:jc w:val="left"/>
      </w:pPr>
    </w:p>
    <w:p w:rsidR="001C682A" w:rsidRDefault="00B03C38">
      <w:pPr>
        <w:pStyle w:val="Heading6"/>
        <w:spacing w:after="0" w:line="259" w:lineRule="auto"/>
        <w:ind w:left="10"/>
      </w:pPr>
      <w:r>
        <w:rPr>
          <w:rFonts w:ascii="Century Gothic" w:eastAsia="Century Gothic" w:hAnsi="Century Gothic" w:cs="Century Gothic"/>
          <w:b/>
          <w:color w:val="000080"/>
        </w:rPr>
        <w:lastRenderedPageBreak/>
        <w:t>LIST</w:t>
      </w:r>
      <w:r>
        <w:rPr>
          <w:rFonts w:ascii="Century Gothic" w:eastAsia="Century Gothic" w:hAnsi="Century Gothic" w:cs="Century Gothic"/>
          <w:b/>
          <w:color w:val="000080"/>
          <w:sz w:val="22"/>
        </w:rPr>
        <w:t xml:space="preserve"> </w:t>
      </w:r>
      <w:r>
        <w:rPr>
          <w:rFonts w:ascii="Century Gothic" w:eastAsia="Century Gothic" w:hAnsi="Century Gothic" w:cs="Century Gothic"/>
          <w:b/>
          <w:color w:val="000080"/>
        </w:rPr>
        <w:t>OF</w:t>
      </w:r>
      <w:r>
        <w:rPr>
          <w:rFonts w:ascii="Century Gothic" w:eastAsia="Century Gothic" w:hAnsi="Century Gothic" w:cs="Century Gothic"/>
          <w:b/>
          <w:color w:val="000080"/>
          <w:sz w:val="22"/>
        </w:rPr>
        <w:t xml:space="preserve"> </w:t>
      </w:r>
      <w:r>
        <w:rPr>
          <w:rFonts w:ascii="Century Gothic" w:eastAsia="Century Gothic" w:hAnsi="Century Gothic" w:cs="Century Gothic"/>
          <w:b/>
          <w:color w:val="000080"/>
        </w:rPr>
        <w:t xml:space="preserve">ACRONYMS </w:t>
      </w:r>
    </w:p>
    <w:p w:rsidR="001C682A" w:rsidRDefault="00B03C38">
      <w:pPr>
        <w:spacing w:after="53" w:line="259" w:lineRule="auto"/>
        <w:ind w:left="-29" w:right="-35" w:firstLine="0"/>
        <w:jc w:val="left"/>
      </w:pPr>
      <w:r>
        <w:rPr>
          <w:rFonts w:ascii="Calibri" w:eastAsia="Calibri" w:hAnsi="Calibri" w:cs="Calibri"/>
          <w:noProof/>
        </w:rPr>
        <mc:AlternateContent>
          <mc:Choice Requires="wpg">
            <w:drawing>
              <wp:inline distT="0" distB="0" distL="0" distR="0">
                <wp:extent cx="5793613" cy="18593"/>
                <wp:effectExtent l="0" t="0" r="0" b="0"/>
                <wp:docPr id="322934" name="Group 322934"/>
                <wp:cNvGraphicFramePr/>
                <a:graphic xmlns:a="http://schemas.openxmlformats.org/drawingml/2006/main">
                  <a:graphicData uri="http://schemas.microsoft.com/office/word/2010/wordprocessingGroup">
                    <wpg:wgp>
                      <wpg:cNvGrpSpPr/>
                      <wpg:grpSpPr>
                        <a:xfrm>
                          <a:off x="0" y="0"/>
                          <a:ext cx="5793613" cy="18593"/>
                          <a:chOff x="0" y="0"/>
                          <a:chExt cx="5793613" cy="18593"/>
                        </a:xfrm>
                      </wpg:grpSpPr>
                      <wps:wsp>
                        <wps:cNvPr id="395727" name="Shape 395727"/>
                        <wps:cNvSpPr/>
                        <wps:spPr>
                          <a:xfrm>
                            <a:off x="0" y="0"/>
                            <a:ext cx="5793613" cy="18593"/>
                          </a:xfrm>
                          <a:custGeom>
                            <a:avLst/>
                            <a:gdLst/>
                            <a:ahLst/>
                            <a:cxnLst/>
                            <a:rect l="0" t="0" r="0" b="0"/>
                            <a:pathLst>
                              <a:path w="5793613" h="18593">
                                <a:moveTo>
                                  <a:pt x="0" y="0"/>
                                </a:moveTo>
                                <a:lnTo>
                                  <a:pt x="5793613" y="0"/>
                                </a:lnTo>
                                <a:lnTo>
                                  <a:pt x="5793613" y="18593"/>
                                </a:lnTo>
                                <a:lnTo>
                                  <a:pt x="0" y="18593"/>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22934" style="width:456.19pt;height:1.46399pt;mso-position-horizontal-relative:char;mso-position-vertical-relative:line" coordsize="57936,185">
                <v:shape id="Shape 395728" style="position:absolute;width:57936;height:185;left:0;top:0;" coordsize="5793613,18593" path="m0,0l5793613,0l5793613,18593l0,18593l0,0">
                  <v:stroke weight="0pt" endcap="flat" joinstyle="miter" miterlimit="10" on="false" color="#000000" opacity="0"/>
                  <v:fill on="true" color="#000080"/>
                </v:shape>
              </v:group>
            </w:pict>
          </mc:Fallback>
        </mc:AlternateContent>
      </w:r>
    </w:p>
    <w:p w:rsidR="001C682A" w:rsidRDefault="00B03C38">
      <w:pPr>
        <w:spacing w:after="0" w:line="259" w:lineRule="auto"/>
        <w:ind w:left="0" w:firstLine="0"/>
        <w:jc w:val="left"/>
      </w:pPr>
      <w:r>
        <w:rPr>
          <w:rFonts w:ascii="Franklin Gothic Book" w:eastAsia="Franklin Gothic Book" w:hAnsi="Franklin Gothic Book" w:cs="Franklin Gothic Book"/>
          <w:sz w:val="24"/>
        </w:rPr>
        <w:t xml:space="preserve"> </w:t>
      </w:r>
    </w:p>
    <w:tbl>
      <w:tblPr>
        <w:tblStyle w:val="TableGrid"/>
        <w:tblW w:w="8187" w:type="dxa"/>
        <w:tblInd w:w="114" w:type="dxa"/>
        <w:tblCellMar>
          <w:top w:w="61" w:type="dxa"/>
          <w:left w:w="78" w:type="dxa"/>
          <w:right w:w="135" w:type="dxa"/>
        </w:tblCellMar>
        <w:tblLook w:val="04A0" w:firstRow="1" w:lastRow="0" w:firstColumn="1" w:lastColumn="0" w:noHBand="0" w:noVBand="1"/>
      </w:tblPr>
      <w:tblGrid>
        <w:gridCol w:w="1412"/>
        <w:gridCol w:w="6775"/>
      </w:tblGrid>
      <w:tr w:rsidR="001C682A">
        <w:trPr>
          <w:trHeight w:val="709"/>
        </w:trPr>
        <w:tc>
          <w:tcPr>
            <w:tcW w:w="1412" w:type="dxa"/>
            <w:tcBorders>
              <w:top w:val="single" w:sz="4" w:space="0" w:color="000000"/>
              <w:left w:val="single" w:sz="4" w:space="0" w:color="000000"/>
              <w:bottom w:val="single" w:sz="4" w:space="0" w:color="000000"/>
              <w:right w:val="single" w:sz="4" w:space="0" w:color="000000"/>
            </w:tcBorders>
            <w:shd w:val="clear" w:color="auto" w:fill="D9D9D9"/>
          </w:tcPr>
          <w:p w:rsidR="001C682A" w:rsidRDefault="00B03C38">
            <w:pPr>
              <w:spacing w:after="0" w:line="259" w:lineRule="auto"/>
              <w:ind w:left="0" w:firstLine="0"/>
            </w:pPr>
            <w:r>
              <w:rPr>
                <w:b/>
              </w:rPr>
              <w:t>ACRONYM</w:t>
            </w:r>
            <w:r>
              <w:t xml:space="preserve"> </w:t>
            </w:r>
          </w:p>
        </w:tc>
        <w:tc>
          <w:tcPr>
            <w:tcW w:w="6774" w:type="dxa"/>
            <w:tcBorders>
              <w:top w:val="single" w:sz="4" w:space="0" w:color="000000"/>
              <w:left w:val="single" w:sz="4" w:space="0" w:color="000000"/>
              <w:bottom w:val="single" w:sz="4" w:space="0" w:color="000000"/>
              <w:right w:val="single" w:sz="4" w:space="0" w:color="000000"/>
            </w:tcBorders>
            <w:shd w:val="clear" w:color="auto" w:fill="D9D9D9"/>
          </w:tcPr>
          <w:p w:rsidR="001C682A" w:rsidRDefault="00B03C38">
            <w:pPr>
              <w:spacing w:after="0" w:line="259" w:lineRule="auto"/>
              <w:ind w:left="1" w:firstLine="0"/>
              <w:jc w:val="left"/>
            </w:pPr>
            <w:r>
              <w:rPr>
                <w:b/>
              </w:rPr>
              <w:t>DESCRIPTION</w:t>
            </w:r>
            <w:r>
              <w:t xml:space="preserve"> </w:t>
            </w:r>
          </w:p>
        </w:tc>
      </w:tr>
      <w:tr w:rsidR="001C682A">
        <w:trPr>
          <w:trHeight w:val="484"/>
        </w:trPr>
        <w:tc>
          <w:tcPr>
            <w:tcW w:w="1412" w:type="dxa"/>
            <w:tcBorders>
              <w:top w:val="single" w:sz="4" w:space="0" w:color="000000"/>
              <w:left w:val="single" w:sz="4" w:space="0" w:color="000000"/>
              <w:bottom w:val="single" w:sz="4" w:space="0" w:color="000000"/>
              <w:right w:val="single" w:sz="4" w:space="0" w:color="000000"/>
            </w:tcBorders>
            <w:vAlign w:val="center"/>
          </w:tcPr>
          <w:p w:rsidR="001C682A" w:rsidRDefault="00B03C38">
            <w:pPr>
              <w:spacing w:after="0" w:line="259" w:lineRule="auto"/>
              <w:ind w:left="0" w:firstLine="0"/>
              <w:jc w:val="left"/>
            </w:pPr>
            <w:r>
              <w:t xml:space="preserve">AfDB </w:t>
            </w:r>
          </w:p>
        </w:tc>
        <w:tc>
          <w:tcPr>
            <w:tcW w:w="6774" w:type="dxa"/>
            <w:tcBorders>
              <w:top w:val="single" w:sz="4" w:space="0" w:color="000000"/>
              <w:left w:val="single" w:sz="4" w:space="0" w:color="000000"/>
              <w:bottom w:val="single" w:sz="4" w:space="0" w:color="000000"/>
              <w:right w:val="single" w:sz="4" w:space="0" w:color="000000"/>
            </w:tcBorders>
            <w:vAlign w:val="center"/>
          </w:tcPr>
          <w:p w:rsidR="001C682A" w:rsidRDefault="00B03C38">
            <w:pPr>
              <w:spacing w:after="0" w:line="259" w:lineRule="auto"/>
              <w:ind w:left="1" w:firstLine="0"/>
              <w:jc w:val="left"/>
            </w:pPr>
            <w:r>
              <w:t xml:space="preserve">African Development Bank </w:t>
            </w:r>
          </w:p>
        </w:tc>
      </w:tr>
      <w:tr w:rsidR="001C682A">
        <w:trPr>
          <w:trHeight w:val="454"/>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proofErr w:type="spellStart"/>
            <w:r>
              <w:t>AfCTA</w:t>
            </w:r>
            <w:proofErr w:type="spellEnd"/>
            <w:r>
              <w:t xml:space="preserve">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Africa Continental Free Trade Agreement  </w:t>
            </w:r>
          </w:p>
        </w:tc>
      </w:tr>
      <w:tr w:rsidR="001C682A">
        <w:trPr>
          <w:trHeight w:val="451"/>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ADF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African Development Fund </w:t>
            </w:r>
          </w:p>
        </w:tc>
      </w:tr>
      <w:tr w:rsidR="001C682A">
        <w:trPr>
          <w:trHeight w:val="454"/>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ADR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Average Duty Rate </w:t>
            </w:r>
          </w:p>
        </w:tc>
      </w:tr>
      <w:tr w:rsidR="001C682A">
        <w:trPr>
          <w:trHeight w:val="454"/>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AKK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proofErr w:type="spellStart"/>
            <w:r>
              <w:t>Ajaokuta</w:t>
            </w:r>
            <w:proofErr w:type="spellEnd"/>
            <w:r>
              <w:t xml:space="preserve">-Kaduna-Kano </w:t>
            </w:r>
          </w:p>
        </w:tc>
      </w:tr>
      <w:tr w:rsidR="001C682A">
        <w:trPr>
          <w:trHeight w:val="454"/>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BHCPF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Basic Healthcare Provision Fund </w:t>
            </w:r>
          </w:p>
        </w:tc>
      </w:tr>
      <w:tr w:rsidR="001C682A">
        <w:trPr>
          <w:trHeight w:val="451"/>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BOF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Budget Office of the Federation </w:t>
            </w:r>
          </w:p>
        </w:tc>
      </w:tr>
      <w:tr w:rsidR="001C682A">
        <w:trPr>
          <w:trHeight w:val="454"/>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BOI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Bank of Industry  </w:t>
            </w:r>
          </w:p>
        </w:tc>
      </w:tr>
      <w:tr w:rsidR="001C682A">
        <w:trPr>
          <w:trHeight w:val="454"/>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BOT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Balance of Trade </w:t>
            </w:r>
          </w:p>
        </w:tc>
      </w:tr>
      <w:tr w:rsidR="001C682A">
        <w:trPr>
          <w:trHeight w:val="454"/>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BPE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Bureau for Public Enterprises </w:t>
            </w:r>
          </w:p>
        </w:tc>
      </w:tr>
      <w:tr w:rsidR="001C682A">
        <w:trPr>
          <w:trHeight w:val="451"/>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CBN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Central Bank of Nigeria </w:t>
            </w:r>
          </w:p>
        </w:tc>
      </w:tr>
      <w:tr w:rsidR="001C682A">
        <w:trPr>
          <w:trHeight w:val="454"/>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CET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Common External Tariff </w:t>
            </w:r>
          </w:p>
        </w:tc>
      </w:tr>
      <w:tr w:rsidR="001C682A">
        <w:trPr>
          <w:trHeight w:val="454"/>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CIF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Cost, Insurance and Freight </w:t>
            </w:r>
          </w:p>
        </w:tc>
      </w:tr>
      <w:tr w:rsidR="001C682A">
        <w:trPr>
          <w:trHeight w:val="454"/>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CIT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Companies Income Tax </w:t>
            </w:r>
          </w:p>
        </w:tc>
      </w:tr>
      <w:tr w:rsidR="001C682A">
        <w:trPr>
          <w:trHeight w:val="451"/>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CPIA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Country Policy and Institutional Assessment </w:t>
            </w:r>
          </w:p>
        </w:tc>
      </w:tr>
      <w:tr w:rsidR="001C682A">
        <w:trPr>
          <w:trHeight w:val="454"/>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CRF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Consolidated Revenue Fund </w:t>
            </w:r>
          </w:p>
        </w:tc>
      </w:tr>
      <w:tr w:rsidR="001C682A">
        <w:trPr>
          <w:trHeight w:val="454"/>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CRR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Cash Reserve Ratio  </w:t>
            </w:r>
          </w:p>
        </w:tc>
      </w:tr>
      <w:tr w:rsidR="001C682A">
        <w:trPr>
          <w:trHeight w:val="454"/>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DISCOs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Distribution Companies </w:t>
            </w:r>
          </w:p>
        </w:tc>
      </w:tr>
      <w:tr w:rsidR="001C682A">
        <w:trPr>
          <w:trHeight w:val="451"/>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DMO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Debt Management Office </w:t>
            </w:r>
          </w:p>
        </w:tc>
      </w:tr>
      <w:tr w:rsidR="001C682A">
        <w:trPr>
          <w:trHeight w:val="454"/>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DSA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Debt Sustainability Analysis </w:t>
            </w:r>
          </w:p>
        </w:tc>
      </w:tr>
      <w:tr w:rsidR="001C682A">
        <w:trPr>
          <w:trHeight w:val="454"/>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ECA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Excess Crude Account </w:t>
            </w:r>
          </w:p>
        </w:tc>
      </w:tr>
      <w:tr w:rsidR="001C682A">
        <w:trPr>
          <w:trHeight w:val="454"/>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ELTS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ECOWAS Trade Liberalisation Scheme </w:t>
            </w:r>
          </w:p>
        </w:tc>
      </w:tr>
      <w:tr w:rsidR="001C682A">
        <w:trPr>
          <w:trHeight w:val="451"/>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ERGP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Economic and Recovery Growth Plan </w:t>
            </w:r>
          </w:p>
        </w:tc>
      </w:tr>
      <w:tr w:rsidR="001C682A">
        <w:trPr>
          <w:trHeight w:val="454"/>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lastRenderedPageBreak/>
              <w:t xml:space="preserve">EU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European Union </w:t>
            </w:r>
          </w:p>
        </w:tc>
      </w:tr>
      <w:tr w:rsidR="001C682A">
        <w:trPr>
          <w:trHeight w:val="454"/>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FAAC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Federation Account Allocation Committee </w:t>
            </w:r>
          </w:p>
        </w:tc>
      </w:tr>
      <w:tr w:rsidR="001C682A">
        <w:trPr>
          <w:trHeight w:val="454"/>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FCDA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Federal Capital Development Authority </w:t>
            </w:r>
          </w:p>
        </w:tc>
      </w:tr>
      <w:tr w:rsidR="001C682A">
        <w:trPr>
          <w:trHeight w:val="451"/>
        </w:trPr>
        <w:tc>
          <w:tcPr>
            <w:tcW w:w="141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FCT </w:t>
            </w:r>
          </w:p>
        </w:tc>
        <w:tc>
          <w:tcPr>
            <w:tcW w:w="677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t xml:space="preserve">Federal Capital Territory </w:t>
            </w:r>
          </w:p>
        </w:tc>
      </w:tr>
    </w:tbl>
    <w:p w:rsidR="001C682A" w:rsidRDefault="001C682A">
      <w:pPr>
        <w:spacing w:after="0" w:line="259" w:lineRule="auto"/>
        <w:ind w:left="-1419" w:right="756" w:firstLine="0"/>
        <w:jc w:val="left"/>
      </w:pPr>
    </w:p>
    <w:tbl>
      <w:tblPr>
        <w:tblStyle w:val="TableGrid"/>
        <w:tblW w:w="8190" w:type="dxa"/>
        <w:tblInd w:w="113" w:type="dxa"/>
        <w:tblCellMar>
          <w:top w:w="93" w:type="dxa"/>
          <w:left w:w="79" w:type="dxa"/>
          <w:right w:w="115" w:type="dxa"/>
        </w:tblCellMar>
        <w:tblLook w:val="04A0" w:firstRow="1" w:lastRow="0" w:firstColumn="1" w:lastColumn="0" w:noHBand="0" w:noVBand="1"/>
      </w:tblPr>
      <w:tblGrid>
        <w:gridCol w:w="1414"/>
        <w:gridCol w:w="6776"/>
      </w:tblGrid>
      <w:tr w:rsidR="001C682A">
        <w:trPr>
          <w:trHeight w:val="452"/>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FDI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Foreign Direct Investment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FG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Federal Government </w:t>
            </w:r>
          </w:p>
        </w:tc>
      </w:tr>
      <w:tr w:rsidR="001C682A">
        <w:trPr>
          <w:trHeight w:val="451"/>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FGN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Federal Government of Nigeria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FMBN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Federal Mortgage Bank of Nigeria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FMFBNP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Federal Ministry of Finance, Budget and National Planning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FRA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Fiscal Responsibility Act </w:t>
            </w:r>
          </w:p>
        </w:tc>
      </w:tr>
      <w:tr w:rsidR="001C682A">
        <w:trPr>
          <w:trHeight w:val="451"/>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FSP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Fiscal Strategy Paper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FX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Foreign Exchange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FY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Financial Year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GAVI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Global Alliance for Vaccines </w:t>
            </w:r>
          </w:p>
        </w:tc>
      </w:tr>
      <w:tr w:rsidR="001C682A">
        <w:trPr>
          <w:trHeight w:val="451"/>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GDP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Gross Domestic Product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GENCOs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Electricity Generation Company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GOEs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Government Owned Enterprises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IAT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Import Adjustment Tax </w:t>
            </w:r>
          </w:p>
        </w:tc>
      </w:tr>
      <w:tr w:rsidR="001C682A">
        <w:trPr>
          <w:trHeight w:val="451"/>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ICT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Information and Communication Technology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IDA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International Development Association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IEA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International Energy Agency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IGR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Internally Generated Revenues </w:t>
            </w:r>
          </w:p>
        </w:tc>
      </w:tr>
      <w:tr w:rsidR="001C682A">
        <w:trPr>
          <w:trHeight w:val="451"/>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IMF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International Monetary Fund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IPPIS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Integrated Personnel and Payroll Information System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lastRenderedPageBreak/>
              <w:t xml:space="preserve">JV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Joint Venture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MBPD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Million Barrels Per Day </w:t>
            </w:r>
          </w:p>
        </w:tc>
      </w:tr>
      <w:tr w:rsidR="001C682A">
        <w:trPr>
          <w:trHeight w:val="451"/>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MDAs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Ministries, Departments and Agencies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MPC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Monetary Policy Committee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MSMEs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Micro, Small and Medium Enterprises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MTFF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Medium-Term Fiscal Framework </w:t>
            </w:r>
          </w:p>
        </w:tc>
      </w:tr>
      <w:tr w:rsidR="001C682A">
        <w:trPr>
          <w:trHeight w:val="451"/>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MTEF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Medium-Term Expenditure Framework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NASS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National Assembly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NBET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Nigerian Bulk Electricity Trading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NCS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Nigeria Customs Service </w:t>
            </w:r>
          </w:p>
        </w:tc>
      </w:tr>
      <w:tr w:rsidR="001C682A">
        <w:trPr>
          <w:trHeight w:val="452"/>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NEXIM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Nigerian Export-Import Bank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NIRP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Nigeria Industrial Revolution Plan </w:t>
            </w:r>
          </w:p>
        </w:tc>
      </w:tr>
      <w:tr w:rsidR="001C682A">
        <w:trPr>
          <w:trHeight w:val="451"/>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NNPC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Nigerian National Petroleum Corporation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OAGF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Office of the Accountant General of the Federation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OECD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Organisation for Economic Cooperation and Development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OPEC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Organisation of Petroleum Exporting Countries   </w:t>
            </w:r>
          </w:p>
        </w:tc>
      </w:tr>
      <w:tr w:rsidR="001C682A">
        <w:trPr>
          <w:trHeight w:val="451"/>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PBC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Peoples Bank of China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PCOA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Put-Call Option Agreement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PIGB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Petroleum Industry Governance Bill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PMS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Premium Motor Spirit  </w:t>
            </w:r>
          </w:p>
        </w:tc>
      </w:tr>
      <w:tr w:rsidR="001C682A">
        <w:trPr>
          <w:trHeight w:val="451"/>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PPP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Public Private Partnership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PPT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Petroleum Profit Tax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PRG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Partial Risk Guarantees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PSRP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Power Sector Recovery Program </w:t>
            </w:r>
          </w:p>
        </w:tc>
      </w:tr>
      <w:tr w:rsidR="001C682A">
        <w:trPr>
          <w:trHeight w:val="451"/>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SDG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Sustainable Development Goals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lastRenderedPageBreak/>
              <w:t xml:space="preserve">STEM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Science, Technology, Engineering and Math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SWV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Service Wide Votes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TES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Tax Expenditure Statement  </w:t>
            </w:r>
          </w:p>
        </w:tc>
      </w:tr>
      <w:tr w:rsidR="001C682A">
        <w:trPr>
          <w:trHeight w:val="451"/>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TSA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Treasury Single Account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UK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United Kingdom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USD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United States Dollar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VAT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Value Added Tax </w:t>
            </w:r>
          </w:p>
        </w:tc>
      </w:tr>
      <w:tr w:rsidR="001C682A">
        <w:trPr>
          <w:trHeight w:val="451"/>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VOARS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Voluntary Offshore Assets Regularisation Scheme </w:t>
            </w:r>
          </w:p>
        </w:tc>
      </w:tr>
      <w:tr w:rsidR="001C682A">
        <w:trPr>
          <w:trHeight w:val="454"/>
        </w:trPr>
        <w:tc>
          <w:tcPr>
            <w:tcW w:w="141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WEO </w:t>
            </w:r>
          </w:p>
        </w:tc>
        <w:tc>
          <w:tcPr>
            <w:tcW w:w="677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World Economic Outlook </w:t>
            </w:r>
          </w:p>
        </w:tc>
      </w:tr>
    </w:tbl>
    <w:p w:rsidR="001C682A" w:rsidRDefault="00B03C38">
      <w:pPr>
        <w:spacing w:after="49" w:line="259" w:lineRule="auto"/>
        <w:ind w:left="0" w:firstLine="0"/>
        <w:jc w:val="left"/>
      </w:pPr>
      <w:r>
        <w:rPr>
          <w:rFonts w:ascii="Franklin Gothic Book" w:eastAsia="Franklin Gothic Book" w:hAnsi="Franklin Gothic Book" w:cs="Franklin Gothic Book"/>
          <w:sz w:val="24"/>
        </w:rPr>
        <w:t xml:space="preserve"> </w:t>
      </w:r>
    </w:p>
    <w:p w:rsidR="001C682A" w:rsidRDefault="00B03C38">
      <w:pPr>
        <w:spacing w:after="0" w:line="259" w:lineRule="auto"/>
        <w:ind w:left="0" w:firstLine="0"/>
      </w:pPr>
      <w:r>
        <w:rPr>
          <w:color w:val="00006D"/>
          <w:sz w:val="37"/>
        </w:rPr>
        <w:t xml:space="preserve"> </w:t>
      </w:r>
      <w:r>
        <w:rPr>
          <w:color w:val="00006D"/>
          <w:sz w:val="37"/>
        </w:rPr>
        <w:tab/>
      </w:r>
      <w:r>
        <w:rPr>
          <w:rFonts w:ascii="Franklin Gothic Book" w:eastAsia="Franklin Gothic Book" w:hAnsi="Franklin Gothic Book" w:cs="Franklin Gothic Book"/>
          <w:sz w:val="24"/>
        </w:rPr>
        <w:t xml:space="preserve"> </w:t>
      </w:r>
    </w:p>
    <w:p w:rsidR="001C682A" w:rsidRDefault="001C682A">
      <w:pPr>
        <w:sectPr w:rsidR="001C682A">
          <w:footerReference w:type="even" r:id="rId13"/>
          <w:footerReference w:type="default" r:id="rId14"/>
          <w:footerReference w:type="first" r:id="rId15"/>
          <w:pgSz w:w="11899" w:h="16841"/>
          <w:pgMar w:top="1426" w:right="1421" w:bottom="1456" w:left="1419" w:header="720" w:footer="692" w:gutter="0"/>
          <w:cols w:space="720"/>
        </w:sectPr>
      </w:pPr>
    </w:p>
    <w:p w:rsidR="001C682A" w:rsidRDefault="00B03C38">
      <w:pPr>
        <w:pStyle w:val="Heading1"/>
        <w:tabs>
          <w:tab w:val="center" w:pos="336"/>
          <w:tab w:val="center" w:pos="1837"/>
        </w:tabs>
        <w:spacing w:after="4" w:line="252" w:lineRule="auto"/>
        <w:ind w:left="0" w:firstLine="0"/>
      </w:pPr>
      <w:bookmarkStart w:id="0" w:name="_Toc389364"/>
      <w:r>
        <w:rPr>
          <w:rFonts w:ascii="Calibri" w:eastAsia="Calibri" w:hAnsi="Calibri" w:cs="Calibri"/>
          <w:color w:val="000000"/>
          <w:sz w:val="22"/>
        </w:rPr>
        <w:lastRenderedPageBreak/>
        <w:tab/>
      </w:r>
      <w:r>
        <w:rPr>
          <w:rFonts w:ascii="Franklin Gothic Book" w:eastAsia="Franklin Gothic Book" w:hAnsi="Franklin Gothic Book" w:cs="Franklin Gothic Book"/>
          <w:color w:val="000000"/>
        </w:rPr>
        <w:t xml:space="preserve">1. </w:t>
      </w:r>
      <w:r>
        <w:rPr>
          <w:rFonts w:ascii="Franklin Gothic Book" w:eastAsia="Franklin Gothic Book" w:hAnsi="Franklin Gothic Book" w:cs="Franklin Gothic Book"/>
          <w:color w:val="000000"/>
        </w:rPr>
        <w:tab/>
        <w:t xml:space="preserve">INTRODUCTION </w:t>
      </w:r>
      <w:bookmarkEnd w:id="0"/>
    </w:p>
    <w:p w:rsidR="001C682A" w:rsidRDefault="00B03C38">
      <w:pPr>
        <w:spacing w:after="249" w:line="259" w:lineRule="auto"/>
        <w:ind w:left="190" w:firstLine="0"/>
        <w:jc w:val="left"/>
      </w:pPr>
      <w:r>
        <w:rPr>
          <w:rFonts w:ascii="Calibri" w:eastAsia="Calibri" w:hAnsi="Calibri" w:cs="Calibri"/>
          <w:noProof/>
        </w:rPr>
        <mc:AlternateContent>
          <mc:Choice Requires="wpg">
            <w:drawing>
              <wp:inline distT="0" distB="0" distL="0" distR="0">
                <wp:extent cx="5764658" cy="18288"/>
                <wp:effectExtent l="0" t="0" r="0" b="0"/>
                <wp:docPr id="323084" name="Group 323084"/>
                <wp:cNvGraphicFramePr/>
                <a:graphic xmlns:a="http://schemas.openxmlformats.org/drawingml/2006/main">
                  <a:graphicData uri="http://schemas.microsoft.com/office/word/2010/wordprocessingGroup">
                    <wpg:wgp>
                      <wpg:cNvGrpSpPr/>
                      <wpg:grpSpPr>
                        <a:xfrm>
                          <a:off x="0" y="0"/>
                          <a:ext cx="5764658" cy="18288"/>
                          <a:chOff x="0" y="0"/>
                          <a:chExt cx="5764658" cy="18288"/>
                        </a:xfrm>
                      </wpg:grpSpPr>
                      <wps:wsp>
                        <wps:cNvPr id="395729" name="Shape 395729"/>
                        <wps:cNvSpPr/>
                        <wps:spPr>
                          <a:xfrm>
                            <a:off x="0" y="0"/>
                            <a:ext cx="5764658" cy="18288"/>
                          </a:xfrm>
                          <a:custGeom>
                            <a:avLst/>
                            <a:gdLst/>
                            <a:ahLst/>
                            <a:cxnLst/>
                            <a:rect l="0" t="0" r="0" b="0"/>
                            <a:pathLst>
                              <a:path w="5764658" h="18288">
                                <a:moveTo>
                                  <a:pt x="0" y="0"/>
                                </a:moveTo>
                                <a:lnTo>
                                  <a:pt x="5764658" y="0"/>
                                </a:lnTo>
                                <a:lnTo>
                                  <a:pt x="5764658" y="18288"/>
                                </a:lnTo>
                                <a:lnTo>
                                  <a:pt x="0" y="1828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23084" style="width:453.91pt;height:1.44pt;mso-position-horizontal-relative:char;mso-position-vertical-relative:line" coordsize="57646,182">
                <v:shape id="Shape 395730" style="position:absolute;width:57646;height:182;left:0;top:0;" coordsize="5764658,18288" path="m0,0l5764658,0l5764658,18288l0,18288l0,0">
                  <v:stroke weight="0pt" endcap="flat" joinstyle="miter" miterlimit="10" on="false" color="#000000" opacity="0"/>
                  <v:fill on="true" color="#000080"/>
                </v:shape>
              </v:group>
            </w:pict>
          </mc:Fallback>
        </mc:AlternateContent>
      </w:r>
    </w:p>
    <w:p w:rsidR="001C682A" w:rsidRDefault="0034406F">
      <w:pPr>
        <w:spacing w:after="173"/>
        <w:ind w:left="236" w:right="816"/>
      </w:pPr>
      <w:r>
        <w:t xml:space="preserve">Planning and Budgeting are rigorous scientific processes </w:t>
      </w:r>
      <w:r w:rsidR="005C099E">
        <w:t>o</w:t>
      </w:r>
      <w:r w:rsidR="00B03C38">
        <w:t>f government in resource allocation i</w:t>
      </w:r>
      <w:r w:rsidR="005C099E">
        <w:t>n a</w:t>
      </w:r>
      <w:r w:rsidR="00B03C38">
        <w:t xml:space="preserve"> prioritized manner that ensures funds reach where they are required </w:t>
      </w:r>
      <w:r w:rsidR="005C099E">
        <w:t>most.</w:t>
      </w:r>
      <w:r w:rsidR="00B03C38">
        <w:t xml:space="preserve"> Budget </w:t>
      </w:r>
      <w:r w:rsidR="005C099E">
        <w:t>is a</w:t>
      </w:r>
      <w:r w:rsidR="00B03C38">
        <w:t xml:space="preserve"> tool that government employs to drive economic policies aimed at uplifting underprivileged sections of the society, facilitating financial inclusion, </w:t>
      </w:r>
      <w:r w:rsidR="00680BB6">
        <w:t>mitigating disparity</w:t>
      </w:r>
      <w:r w:rsidR="005C099E">
        <w:t xml:space="preserve"> within and among various geographical areas in</w:t>
      </w:r>
      <w:r w:rsidR="00B03C38">
        <w:t xml:space="preserve"> providing proper educational and health facilities. This underscores the utmost importance government attaches to the preparation, implementation and monitoring of a well-planned budget.  The Medium-Term Expenditure Framework and Fiscal Strategy Paper (MTEF/FSP) provides estimates and projections that guide annual budget planning and fiscal management over a three-year period. </w:t>
      </w:r>
    </w:p>
    <w:p w:rsidR="004E284B" w:rsidRDefault="004E284B" w:rsidP="004E284B">
      <w:pPr>
        <w:spacing w:after="173"/>
        <w:ind w:left="236" w:right="816"/>
      </w:pPr>
      <w:r>
        <w:rPr>
          <w:sz w:val="24"/>
          <w:szCs w:val="24"/>
        </w:rPr>
        <w:t xml:space="preserve">Apart from the general provisions in the 1999 Constitution of the FRN as Amended, the </w:t>
      </w:r>
      <w:r w:rsidRPr="0089533D">
        <w:rPr>
          <w:sz w:val="24"/>
          <w:szCs w:val="24"/>
        </w:rPr>
        <w:t xml:space="preserve">Sokoto State Fiscal Responsibility Law (2007) is the main legal instrument driving the development of the Medium-Term Fiscal Framework as well as the Annual Budget. This law was domesticated after the Federal Government enacted the Fiscal Responsibility Act (FRA) 2007 with the aim of promoting fiscal transparency and accountability. Preparation of Sokoto’s annual budget is </w:t>
      </w:r>
      <w:r>
        <w:rPr>
          <w:sz w:val="24"/>
          <w:szCs w:val="24"/>
        </w:rPr>
        <w:t xml:space="preserve">thus </w:t>
      </w:r>
      <w:r w:rsidRPr="0089533D">
        <w:rPr>
          <w:sz w:val="24"/>
          <w:szCs w:val="24"/>
        </w:rPr>
        <w:t>guided by provisions of the Sokoto State Fiscal Responsibility Law (2007). Specifically, Parts II-V of the Law stipulates the processes for preparing the Medium-Term Expenditure Framework (MTEF), the Annual Budget, Budgets of Corporations and Related Agencies as well as Budget Executions and Achievement of Targets</w:t>
      </w:r>
      <w:r>
        <w:rPr>
          <w:sz w:val="24"/>
          <w:szCs w:val="24"/>
        </w:rPr>
        <w:t>.</w:t>
      </w:r>
      <w:r w:rsidRPr="004E284B">
        <w:t xml:space="preserve"> </w:t>
      </w:r>
      <w:r>
        <w:t xml:space="preserve">The MTEF/FSP highlights revenue projections, expenditure plans and fiscal targets over the medium term based on a reliable and consistent fiscal outlook. </w:t>
      </w:r>
    </w:p>
    <w:p w:rsidR="001C682A" w:rsidRDefault="004E284B" w:rsidP="004E284B">
      <w:pPr>
        <w:spacing w:after="120"/>
      </w:pPr>
      <w:r w:rsidRPr="0089533D">
        <w:rPr>
          <w:sz w:val="24"/>
          <w:szCs w:val="24"/>
        </w:rPr>
        <w:t xml:space="preserve">. </w:t>
      </w:r>
      <w:r w:rsidR="00B03C38">
        <w:t>The design of the 2020-2023 MTEF/FSP is coming at a time of complex severe health and economic crises inflicted by the COVID-19 pandemic. Though global in effect, the macroeconomic evolutions have significantly impacted the Nigerian</w:t>
      </w:r>
      <w:r>
        <w:t>/Sokoto state</w:t>
      </w:r>
      <w:r w:rsidR="00B03C38">
        <w:t xml:space="preserve"> economy. The Administration recognizes that a strengthened implementation framework is required to achieve the objectives of this medium-term plan. Government has instituted improved intersectoral linkages; strengthened partnerships; and reinvigorated governance and inclusive stakeholder relations. This is to strengthen implementation processes and ensure that the plan delivers on its promise. </w:t>
      </w:r>
    </w:p>
    <w:p w:rsidR="001C682A" w:rsidRDefault="00B03C38">
      <w:pPr>
        <w:spacing w:after="316"/>
        <w:ind w:left="236" w:right="816"/>
      </w:pPr>
      <w:r>
        <w:t xml:space="preserve">This MTEF/FSP is not simply an internally drafted blueprint, but rather a framework that has been informed by a process of broad-based dialogue with stakeholders. It is meant to minimize the adverse impacts of the COVID-19 pandemic and other crises, accommodate changing realities, propel the economy on the path of accelerated growth as well as serve as a reference point for further dialogue and planning. </w:t>
      </w:r>
    </w:p>
    <w:p w:rsidR="00DE198B" w:rsidRDefault="00DE198B">
      <w:pPr>
        <w:pStyle w:val="Heading2"/>
        <w:tabs>
          <w:tab w:val="center" w:pos="418"/>
          <w:tab w:val="center" w:pos="2932"/>
          <w:tab w:val="center" w:pos="8500"/>
        </w:tabs>
        <w:ind w:left="0" w:firstLine="0"/>
      </w:pPr>
      <w:bookmarkStart w:id="1" w:name="_Toc389365"/>
    </w:p>
    <w:p w:rsidR="00DE198B" w:rsidRDefault="00DE198B" w:rsidP="00DE198B"/>
    <w:p w:rsidR="00DE198B" w:rsidRDefault="00DE198B" w:rsidP="00DE198B"/>
    <w:p w:rsidR="00DE198B" w:rsidRPr="00DE198B" w:rsidRDefault="00DE198B" w:rsidP="00DE198B"/>
    <w:p w:rsidR="00DE198B" w:rsidRDefault="00DE198B">
      <w:pPr>
        <w:pStyle w:val="Heading2"/>
        <w:tabs>
          <w:tab w:val="center" w:pos="418"/>
          <w:tab w:val="center" w:pos="2932"/>
          <w:tab w:val="center" w:pos="8500"/>
        </w:tabs>
        <w:ind w:left="0" w:firstLine="0"/>
      </w:pPr>
    </w:p>
    <w:p w:rsidR="00DE198B" w:rsidRDefault="00DE198B">
      <w:pPr>
        <w:pStyle w:val="Heading2"/>
        <w:tabs>
          <w:tab w:val="center" w:pos="418"/>
          <w:tab w:val="center" w:pos="2932"/>
          <w:tab w:val="center" w:pos="8500"/>
        </w:tabs>
        <w:ind w:left="0" w:firstLine="0"/>
      </w:pPr>
    </w:p>
    <w:p w:rsidR="00DE198B" w:rsidRDefault="00DE198B">
      <w:pPr>
        <w:pStyle w:val="Heading2"/>
        <w:tabs>
          <w:tab w:val="center" w:pos="418"/>
          <w:tab w:val="center" w:pos="2932"/>
          <w:tab w:val="center" w:pos="8500"/>
        </w:tabs>
        <w:ind w:left="0" w:firstLine="0"/>
      </w:pPr>
    </w:p>
    <w:p w:rsidR="001C682A" w:rsidRDefault="00B03C38">
      <w:pPr>
        <w:pStyle w:val="Heading2"/>
        <w:tabs>
          <w:tab w:val="center" w:pos="418"/>
          <w:tab w:val="center" w:pos="2932"/>
          <w:tab w:val="center" w:pos="8500"/>
        </w:tabs>
        <w:ind w:left="0" w:firstLine="0"/>
      </w:pPr>
      <w:r>
        <w:t xml:space="preserve">2.0 </w:t>
      </w:r>
      <w:r>
        <w:tab/>
        <w:t xml:space="preserve">ECONOMIC AND FISCAL OUTLOOK </w:t>
      </w:r>
      <w:r>
        <w:tab/>
        <w:t xml:space="preserve"> </w:t>
      </w:r>
      <w:bookmarkEnd w:id="1"/>
    </w:p>
    <w:p w:rsidR="001C682A" w:rsidRDefault="00B03C38">
      <w:pPr>
        <w:spacing w:after="435" w:line="259" w:lineRule="auto"/>
        <w:ind w:left="190" w:firstLine="0"/>
        <w:jc w:val="left"/>
      </w:pPr>
      <w:r>
        <w:rPr>
          <w:rFonts w:ascii="Calibri" w:eastAsia="Calibri" w:hAnsi="Calibri" w:cs="Calibri"/>
          <w:noProof/>
        </w:rPr>
        <mc:AlternateContent>
          <mc:Choice Requires="wpg">
            <w:drawing>
              <wp:inline distT="0" distB="0" distL="0" distR="0">
                <wp:extent cx="5764658" cy="18288"/>
                <wp:effectExtent l="0" t="0" r="0" b="0"/>
                <wp:docPr id="323085" name="Group 323085"/>
                <wp:cNvGraphicFramePr/>
                <a:graphic xmlns:a="http://schemas.openxmlformats.org/drawingml/2006/main">
                  <a:graphicData uri="http://schemas.microsoft.com/office/word/2010/wordprocessingGroup">
                    <wpg:wgp>
                      <wpg:cNvGrpSpPr/>
                      <wpg:grpSpPr>
                        <a:xfrm>
                          <a:off x="0" y="0"/>
                          <a:ext cx="5764658" cy="18288"/>
                          <a:chOff x="0" y="0"/>
                          <a:chExt cx="5764658" cy="18288"/>
                        </a:xfrm>
                      </wpg:grpSpPr>
                      <wps:wsp>
                        <wps:cNvPr id="395731" name="Shape 395731"/>
                        <wps:cNvSpPr/>
                        <wps:spPr>
                          <a:xfrm>
                            <a:off x="0" y="0"/>
                            <a:ext cx="5764658" cy="18288"/>
                          </a:xfrm>
                          <a:custGeom>
                            <a:avLst/>
                            <a:gdLst/>
                            <a:ahLst/>
                            <a:cxnLst/>
                            <a:rect l="0" t="0" r="0" b="0"/>
                            <a:pathLst>
                              <a:path w="5764658" h="18288">
                                <a:moveTo>
                                  <a:pt x="0" y="0"/>
                                </a:moveTo>
                                <a:lnTo>
                                  <a:pt x="5764658" y="0"/>
                                </a:lnTo>
                                <a:lnTo>
                                  <a:pt x="5764658" y="18288"/>
                                </a:lnTo>
                                <a:lnTo>
                                  <a:pt x="0" y="1828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23085" style="width:453.91pt;height:1.44pt;mso-position-horizontal-relative:char;mso-position-vertical-relative:line" coordsize="57646,182">
                <v:shape id="Shape 395732" style="position:absolute;width:57646;height:182;left:0;top:0;" coordsize="5764658,18288" path="m0,0l5764658,0l5764658,18288l0,18288l0,0">
                  <v:stroke weight="0pt" endcap="flat" joinstyle="miter" miterlimit="10" on="false" color="#000000" opacity="0"/>
                  <v:fill on="true" color="#000080"/>
                </v:shape>
              </v:group>
            </w:pict>
          </mc:Fallback>
        </mc:AlternateContent>
      </w:r>
    </w:p>
    <w:p w:rsidR="001C682A" w:rsidRDefault="00B03C38">
      <w:pPr>
        <w:pStyle w:val="Heading3"/>
        <w:tabs>
          <w:tab w:val="center" w:pos="415"/>
          <w:tab w:val="center" w:pos="4296"/>
        </w:tabs>
        <w:spacing w:after="0" w:line="259" w:lineRule="auto"/>
        <w:ind w:left="0" w:firstLine="0"/>
      </w:pPr>
      <w:bookmarkStart w:id="2" w:name="_Toc389366"/>
      <w:r>
        <w:rPr>
          <w:rFonts w:ascii="Calibri" w:eastAsia="Calibri" w:hAnsi="Calibri" w:cs="Calibri"/>
          <w:color w:val="000000"/>
          <w:sz w:val="22"/>
        </w:rPr>
        <w:tab/>
      </w:r>
      <w:r>
        <w:rPr>
          <w:b/>
        </w:rPr>
        <w:t xml:space="preserve">2.1 </w:t>
      </w:r>
      <w:r>
        <w:rPr>
          <w:b/>
        </w:rPr>
        <w:tab/>
        <w:t xml:space="preserve">Global Economic Developments and Implications </w:t>
      </w:r>
      <w:bookmarkEnd w:id="2"/>
    </w:p>
    <w:p w:rsidR="001C682A" w:rsidRDefault="00B03C38">
      <w:pPr>
        <w:spacing w:after="263"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23086" name="Group 323086"/>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733" name="Shape 395733"/>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23086" style="width:453.91pt;height:0.47998pt;mso-position-horizontal-relative:char;mso-position-vertical-relative:line" coordsize="57646,60">
                <v:shape id="Shape 395734"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spacing w:after="243"/>
        <w:ind w:left="236" w:right="816"/>
      </w:pPr>
      <w:r>
        <w:rPr>
          <w:rFonts w:ascii="Franklin Gothic Book" w:eastAsia="Franklin Gothic Book" w:hAnsi="Franklin Gothic Book" w:cs="Franklin Gothic Book"/>
          <w:sz w:val="24"/>
        </w:rPr>
        <w:t>The g</w:t>
      </w:r>
      <w:r>
        <w:t xml:space="preserve">lobal economy practically came to a standstill as a result of COVID-19 pandemic, which has spread to over 200 countries and territories, with negative implications for global growth. Every country has witnessed reduced economic activities in the first half of 2020 owing to global supply chain collapse and depressed demand. The economic crisis, the worst since the Great Depression has been exacerbated by collapse in commodity prices across the world. </w:t>
      </w:r>
    </w:p>
    <w:p w:rsidR="001C682A" w:rsidRDefault="00B03C38">
      <w:pPr>
        <w:ind w:left="236" w:right="816"/>
      </w:pPr>
      <w:r>
        <w:t xml:space="preserve">Extreme uncertainties still exist around the global growth trajectory. A combination of factors has increased the unpredictability of economic output across the globe. The intensity and efficacy of containment efforts in territories, the extent of supply disruptions and productivity losses, the repercussions of the dramatic tightening in global financial market conditions, shifts in spending patterns and behavioural changes have raised world output volatility. The progress in finding a vaccine and/or therapies will significantly define the path of recovery. </w:t>
      </w:r>
    </w:p>
    <w:p w:rsidR="001C682A" w:rsidRDefault="00B03C38">
      <w:pPr>
        <w:spacing w:after="102" w:line="259" w:lineRule="auto"/>
        <w:ind w:left="218" w:firstLine="0"/>
        <w:jc w:val="left"/>
      </w:pPr>
      <w:r>
        <w:rPr>
          <w:rFonts w:ascii="Franklin Gothic Book" w:eastAsia="Franklin Gothic Book" w:hAnsi="Franklin Gothic Book" w:cs="Franklin Gothic Book"/>
          <w:sz w:val="20"/>
        </w:rPr>
        <w:t xml:space="preserve"> </w:t>
      </w:r>
    </w:p>
    <w:p w:rsidR="001C682A" w:rsidRDefault="00B03C38" w:rsidP="00DE198B">
      <w:pPr>
        <w:spacing w:after="7" w:line="253" w:lineRule="auto"/>
        <w:ind w:left="236" w:right="818"/>
      </w:pPr>
      <w:r>
        <w:t xml:space="preserve">The International Monetary Fund (IMF) hinted that the global economy is already in recession, with lockdowns in most countries. COVID19 has severely impacted the global economy. Except for China, whose </w:t>
      </w:r>
      <w:proofErr w:type="spellStart"/>
      <w:r>
        <w:t>econoic</w:t>
      </w:r>
      <w:proofErr w:type="spellEnd"/>
      <w:r>
        <w:t xml:space="preserve"> growth is expected to taper to 1%, all major economies are projected to slide into recession in 2020. Global economic growth is projected to decline from 2.9% recorded in 2019 to a negative 4.9 % in 2020. Growth in the United States will recede to -8.0%, while </w:t>
      </w:r>
      <w:r>
        <w:tab/>
        <w:t xml:space="preserve">emerging </w:t>
      </w:r>
      <w:r>
        <w:tab/>
        <w:t xml:space="preserve">and </w:t>
      </w:r>
      <w:r>
        <w:tab/>
        <w:t xml:space="preserve">developing economies will decline to -3.0% in 2020. Emerging and frontier economies have seen a reversal of growth trajectories. Growth in Sub Sahara Africa (SSA) has been further reviewed to fall sharply to    -3.2%. Propitiously, the IMF forecasts a rapid rebound of the global economy in 2021. World output growth is projected to accelerate by 5.4%, Emerging Market &amp; Developing Economies (EMDEs) are projected to rebound to growth at 5.9%. </w:t>
      </w:r>
    </w:p>
    <w:p w:rsidR="001C682A" w:rsidRDefault="00B03C38">
      <w:pPr>
        <w:spacing w:after="458"/>
        <w:ind w:left="236" w:right="816"/>
      </w:pPr>
      <w:r>
        <w:t xml:space="preserve">Countries are implementing several stimulus packages to mitigate the impact of the crisis on the welfare of their citizens. EMDEs’ capacity to activate and sustain economic stimulus packages is however constrained. Poor government revenue performances are also compounding debt problems.  </w:t>
      </w:r>
    </w:p>
    <w:p w:rsidR="001C682A" w:rsidRDefault="00B03C38">
      <w:pPr>
        <w:pStyle w:val="Heading3"/>
        <w:tabs>
          <w:tab w:val="center" w:pos="415"/>
          <w:tab w:val="center" w:pos="4694"/>
        </w:tabs>
        <w:spacing w:after="0" w:line="259" w:lineRule="auto"/>
        <w:ind w:left="0" w:firstLine="0"/>
      </w:pPr>
      <w:bookmarkStart w:id="3" w:name="_Toc389367"/>
      <w:r>
        <w:rPr>
          <w:rFonts w:ascii="Calibri" w:eastAsia="Calibri" w:hAnsi="Calibri" w:cs="Calibri"/>
          <w:color w:val="000000"/>
          <w:sz w:val="22"/>
        </w:rPr>
        <w:tab/>
      </w:r>
      <w:r>
        <w:rPr>
          <w:b/>
        </w:rPr>
        <w:t xml:space="preserve">2.2 </w:t>
      </w:r>
      <w:r>
        <w:rPr>
          <w:b/>
        </w:rPr>
        <w:tab/>
        <w:t xml:space="preserve">Macroeconomic Performance of the Nigerian Economy </w:t>
      </w:r>
      <w:bookmarkEnd w:id="3"/>
    </w:p>
    <w:p w:rsidR="001C682A" w:rsidRDefault="00B03C38">
      <w:pPr>
        <w:spacing w:after="247"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23009" name="Group 323009"/>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735" name="Shape 395735"/>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23009" style="width:453.91pt;height:0.480011pt;mso-position-horizontal-relative:char;mso-position-vertical-relative:line" coordsize="57646,60">
                <v:shape id="Shape 395736"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680BB6">
      <w:pPr>
        <w:spacing w:after="228"/>
        <w:ind w:left="236" w:right="816"/>
      </w:pPr>
      <w:r>
        <w:t xml:space="preserve">The Nigerian </w:t>
      </w:r>
      <w:r w:rsidR="00B03C38">
        <w:t xml:space="preserve">economy has grappled with acceleration in real GDP growth since the exit from recession in Q2 2017. </w:t>
      </w:r>
      <w:r>
        <w:t>In spite</w:t>
      </w:r>
      <w:r w:rsidR="00B03C38">
        <w:t xml:space="preserve"> of twelve consecutive quarters of positive growth, GDP growth rates remained below desirable targets (growing below population growth rate).  </w:t>
      </w:r>
    </w:p>
    <w:p w:rsidR="001C682A" w:rsidRDefault="00B03C38">
      <w:pPr>
        <w:spacing w:after="170"/>
        <w:ind w:left="236" w:right="816"/>
      </w:pPr>
      <w:r>
        <w:t>The NBS projects that the Nigerian economy will contract by -</w:t>
      </w:r>
      <w:r w:rsidR="00680BB6">
        <w:t xml:space="preserve"> </w:t>
      </w:r>
      <w:r>
        <w:t xml:space="preserve">4.2% in 2020, as the COVID-19 pandemic and resultant oil price shock have exacerbated the vulnerability of Nigeria’s fiscal </w:t>
      </w:r>
      <w:r>
        <w:lastRenderedPageBreak/>
        <w:t>and monetary landscape</w:t>
      </w:r>
      <w:r>
        <w:rPr>
          <w:sz w:val="24"/>
        </w:rPr>
        <w:t xml:space="preserve">. </w:t>
      </w:r>
      <w:r>
        <w:t xml:space="preserve">Prior to the outbreak of the pandemic, the Nigerian economy had been characterised by wavering external sector and improving internal economic indicators. Over-dependence on oil revenue, constrained fiscal space, low foreign and domestic investments, declining foreign reserves made the economy disproportionately vulnerable to the twin shocks of oil price collapse and a health crisis.  The informal sector, which accounts for over half of Nigeria’s GDP will be severely negatively impacted. </w:t>
      </w:r>
    </w:p>
    <w:p w:rsidR="001C682A" w:rsidRDefault="00B03C38">
      <w:pPr>
        <w:spacing w:after="58" w:line="259" w:lineRule="auto"/>
        <w:ind w:left="218" w:firstLine="0"/>
        <w:jc w:val="left"/>
      </w:pPr>
      <w:r>
        <w:rPr>
          <w:rFonts w:ascii="Calibri" w:eastAsia="Calibri" w:hAnsi="Calibri" w:cs="Calibri"/>
          <w:color w:val="1F3763"/>
          <w:sz w:val="24"/>
        </w:rPr>
        <w:t xml:space="preserve"> </w:t>
      </w:r>
    </w:p>
    <w:p w:rsidR="001C682A" w:rsidRDefault="00B03C38">
      <w:pPr>
        <w:spacing w:after="0" w:line="259" w:lineRule="auto"/>
        <w:ind w:left="218" w:firstLine="0"/>
        <w:jc w:val="left"/>
      </w:pPr>
      <w:r>
        <w:rPr>
          <w:rFonts w:ascii="Franklin Gothic Book" w:eastAsia="Franklin Gothic Book" w:hAnsi="Franklin Gothic Book" w:cs="Franklin Gothic Book"/>
          <w:sz w:val="24"/>
        </w:rPr>
        <w:t xml:space="preserve"> </w:t>
      </w:r>
    </w:p>
    <w:p w:rsidR="001C682A" w:rsidRDefault="00B03C38">
      <w:pPr>
        <w:pStyle w:val="Heading4"/>
        <w:tabs>
          <w:tab w:val="center" w:pos="460"/>
          <w:tab w:val="center" w:pos="1479"/>
        </w:tabs>
        <w:spacing w:after="63" w:line="259" w:lineRule="auto"/>
        <w:ind w:left="0" w:firstLine="0"/>
      </w:pPr>
      <w:bookmarkStart w:id="4" w:name="_Toc389368"/>
      <w:r>
        <w:rPr>
          <w:rFonts w:ascii="Calibri" w:eastAsia="Calibri" w:hAnsi="Calibri" w:cs="Calibri"/>
          <w:color w:val="000000"/>
          <w:sz w:val="22"/>
        </w:rPr>
        <w:tab/>
      </w:r>
      <w:r>
        <w:rPr>
          <w:rFonts w:ascii="Calibri" w:eastAsia="Calibri" w:hAnsi="Calibri" w:cs="Calibri"/>
          <w:color w:val="1F3763"/>
          <w:sz w:val="24"/>
        </w:rPr>
        <w:t xml:space="preserve">2.2.1 </w:t>
      </w:r>
      <w:r>
        <w:rPr>
          <w:rFonts w:ascii="Calibri" w:eastAsia="Calibri" w:hAnsi="Calibri" w:cs="Calibri"/>
          <w:color w:val="1F3763"/>
          <w:sz w:val="24"/>
        </w:rPr>
        <w:tab/>
        <w:t xml:space="preserve">Real Sector </w:t>
      </w:r>
      <w:bookmarkEnd w:id="4"/>
    </w:p>
    <w:p w:rsidR="001C682A" w:rsidRDefault="00B03C38">
      <w:pPr>
        <w:pStyle w:val="Heading5"/>
        <w:tabs>
          <w:tab w:val="center" w:pos="365"/>
          <w:tab w:val="center" w:pos="3020"/>
        </w:tabs>
        <w:spacing w:after="0" w:line="259" w:lineRule="auto"/>
        <w:ind w:left="0" w:firstLine="0"/>
      </w:pPr>
      <w:bookmarkStart w:id="5" w:name="_Toc389369"/>
      <w:r>
        <w:rPr>
          <w:rFonts w:ascii="Calibri" w:eastAsia="Calibri" w:hAnsi="Calibri" w:cs="Calibri"/>
          <w:color w:val="000000"/>
          <w:sz w:val="22"/>
        </w:rPr>
        <w:tab/>
      </w:r>
      <w:r>
        <w:rPr>
          <w:rFonts w:ascii="Arial" w:eastAsia="Arial" w:hAnsi="Arial" w:cs="Arial"/>
          <w:i/>
          <w:color w:val="2F5496"/>
          <w:sz w:val="24"/>
        </w:rPr>
        <w:t xml:space="preserve">(a) </w:t>
      </w:r>
      <w:r>
        <w:rPr>
          <w:rFonts w:ascii="Arial" w:eastAsia="Arial" w:hAnsi="Arial" w:cs="Arial"/>
          <w:i/>
          <w:color w:val="2F5496"/>
          <w:sz w:val="24"/>
        </w:rPr>
        <w:tab/>
        <w:t xml:space="preserve">GDP growth and Sectoral Performance  </w:t>
      </w:r>
      <w:bookmarkEnd w:id="5"/>
    </w:p>
    <w:p w:rsidR="001C682A" w:rsidRDefault="00B03C38">
      <w:pPr>
        <w:spacing w:after="0" w:line="259" w:lineRule="auto"/>
        <w:ind w:left="218" w:firstLine="0"/>
        <w:jc w:val="left"/>
      </w:pPr>
      <w:r>
        <w:rPr>
          <w:rFonts w:ascii="Franklin Gothic Book" w:eastAsia="Franklin Gothic Book" w:hAnsi="Franklin Gothic Book" w:cs="Franklin Gothic Book"/>
          <w:sz w:val="20"/>
        </w:rPr>
        <w:t xml:space="preserve"> </w:t>
      </w:r>
    </w:p>
    <w:p w:rsidR="001C682A" w:rsidRDefault="00B03C38">
      <w:pPr>
        <w:spacing w:after="248" w:line="259" w:lineRule="auto"/>
        <w:ind w:right="1510"/>
        <w:jc w:val="right"/>
      </w:pPr>
      <w:r>
        <w:rPr>
          <w:rFonts w:ascii="Franklin Gothic Book" w:eastAsia="Franklin Gothic Book" w:hAnsi="Franklin Gothic Book" w:cs="Franklin Gothic Book"/>
          <w:sz w:val="20"/>
        </w:rPr>
        <w:t xml:space="preserve">Figure 2.1: Real GDP Growth Rates Q1 2014 – Q1 2020 </w:t>
      </w:r>
    </w:p>
    <w:p w:rsidR="001C682A" w:rsidRDefault="00B03C38">
      <w:pPr>
        <w:spacing w:after="7" w:line="273" w:lineRule="auto"/>
        <w:ind w:left="213" w:right="1625"/>
        <w:jc w:val="left"/>
      </w:pPr>
      <w:r>
        <w:rPr>
          <w:noProof/>
        </w:rPr>
        <w:drawing>
          <wp:anchor distT="0" distB="0" distL="114300" distR="114300" simplePos="0" relativeHeight="251660288" behindDoc="0" locked="0" layoutInCell="1" allowOverlap="0">
            <wp:simplePos x="0" y="0"/>
            <wp:positionH relativeFrom="column">
              <wp:posOffset>2386279</wp:posOffset>
            </wp:positionH>
            <wp:positionV relativeFrom="paragraph">
              <wp:posOffset>-999</wp:posOffset>
            </wp:positionV>
            <wp:extent cx="3302000" cy="2717800"/>
            <wp:effectExtent l="0" t="0" r="0" b="0"/>
            <wp:wrapSquare wrapText="bothSides"/>
            <wp:docPr id="6477" name="Picture 6477"/>
            <wp:cNvGraphicFramePr/>
            <a:graphic xmlns:a="http://schemas.openxmlformats.org/drawingml/2006/main">
              <a:graphicData uri="http://schemas.openxmlformats.org/drawingml/2006/picture">
                <pic:pic xmlns:pic="http://schemas.openxmlformats.org/drawingml/2006/picture">
                  <pic:nvPicPr>
                    <pic:cNvPr id="6477" name="Picture 6477"/>
                    <pic:cNvPicPr/>
                  </pic:nvPicPr>
                  <pic:blipFill>
                    <a:blip r:embed="rId16"/>
                    <a:stretch>
                      <a:fillRect/>
                    </a:stretch>
                  </pic:blipFill>
                  <pic:spPr>
                    <a:xfrm>
                      <a:off x="0" y="0"/>
                      <a:ext cx="3302000" cy="2717800"/>
                    </a:xfrm>
                    <a:prstGeom prst="rect">
                      <a:avLst/>
                    </a:prstGeom>
                  </pic:spPr>
                </pic:pic>
              </a:graphicData>
            </a:graphic>
          </wp:anchor>
        </w:drawing>
      </w:r>
      <w:r>
        <w:t xml:space="preserve">Gross Domestic Product (GDP) grew by 1.87% (year-on-year) in real terms in Q1 2020.  Growth in the non-oil sector was driven mainly by Telecommunications, Financial Institutions, </w:t>
      </w:r>
      <w:r>
        <w:tab/>
        <w:t xml:space="preserve">Crop </w:t>
      </w:r>
      <w:r>
        <w:tab/>
        <w:t xml:space="preserve">Production, Mining </w:t>
      </w:r>
      <w:r>
        <w:tab/>
        <w:t xml:space="preserve">and </w:t>
      </w:r>
      <w:r>
        <w:tab/>
        <w:t xml:space="preserve">Quarrying </w:t>
      </w:r>
      <w:r>
        <w:tab/>
        <w:t xml:space="preserve">and Construction </w:t>
      </w:r>
      <w:r>
        <w:tab/>
        <w:t xml:space="preserve">subsectors. Nevertheless, </w:t>
      </w:r>
      <w:r>
        <w:tab/>
        <w:t xml:space="preserve">the </w:t>
      </w:r>
      <w:r>
        <w:tab/>
        <w:t xml:space="preserve">performance recorded in Q1 2020 represents a drop of 0.23% compared to 2.10% growth in Q1 2019, and 0.68% decline from 2.55% growth in Q4 2019, reflecting the earliest effects of disruption caused by COVID-19 pandemic and crash in oil price. </w:t>
      </w:r>
    </w:p>
    <w:p w:rsidR="001C682A" w:rsidRDefault="00B03C38">
      <w:pPr>
        <w:spacing w:after="160" w:line="259" w:lineRule="auto"/>
        <w:ind w:left="218" w:firstLine="0"/>
        <w:jc w:val="left"/>
      </w:pPr>
      <w:r>
        <w:t xml:space="preserve"> </w:t>
      </w:r>
    </w:p>
    <w:p w:rsidR="001C682A" w:rsidRDefault="00B03C38">
      <w:pPr>
        <w:spacing w:after="248" w:line="259" w:lineRule="auto"/>
        <w:ind w:left="213"/>
        <w:jc w:val="left"/>
      </w:pPr>
      <w:r>
        <w:rPr>
          <w:rFonts w:ascii="Franklin Gothic Book" w:eastAsia="Franklin Gothic Book" w:hAnsi="Franklin Gothic Book" w:cs="Franklin Gothic Book"/>
          <w:sz w:val="20"/>
        </w:rPr>
        <w:t xml:space="preserve">Figure 2.2: Sectoral Quarterly GDP Growth Rates, (2014 Q1 - 2020 Q1) </w:t>
      </w:r>
    </w:p>
    <w:p w:rsidR="001C682A" w:rsidRDefault="00B03C38">
      <w:pPr>
        <w:spacing w:after="7" w:line="253" w:lineRule="auto"/>
        <w:ind w:left="236" w:right="818"/>
        <w:jc w:val="right"/>
      </w:pPr>
      <w:r>
        <w:rPr>
          <w:noProof/>
        </w:rPr>
        <w:drawing>
          <wp:anchor distT="0" distB="0" distL="114300" distR="114300" simplePos="0" relativeHeight="251661312" behindDoc="0" locked="0" layoutInCell="1" allowOverlap="0">
            <wp:simplePos x="0" y="0"/>
            <wp:positionH relativeFrom="column">
              <wp:posOffset>133934</wp:posOffset>
            </wp:positionH>
            <wp:positionV relativeFrom="paragraph">
              <wp:posOffset>-12810</wp:posOffset>
            </wp:positionV>
            <wp:extent cx="3683000" cy="2590800"/>
            <wp:effectExtent l="0" t="0" r="0" b="0"/>
            <wp:wrapSquare wrapText="bothSides"/>
            <wp:docPr id="6479" name="Picture 6479"/>
            <wp:cNvGraphicFramePr/>
            <a:graphic xmlns:a="http://schemas.openxmlformats.org/drawingml/2006/main">
              <a:graphicData uri="http://schemas.openxmlformats.org/drawingml/2006/picture">
                <pic:pic xmlns:pic="http://schemas.openxmlformats.org/drawingml/2006/picture">
                  <pic:nvPicPr>
                    <pic:cNvPr id="6479" name="Picture 6479"/>
                    <pic:cNvPicPr/>
                  </pic:nvPicPr>
                  <pic:blipFill>
                    <a:blip r:embed="rId17"/>
                    <a:stretch>
                      <a:fillRect/>
                    </a:stretch>
                  </pic:blipFill>
                  <pic:spPr>
                    <a:xfrm>
                      <a:off x="0" y="0"/>
                      <a:ext cx="3683000" cy="2590800"/>
                    </a:xfrm>
                    <a:prstGeom prst="rect">
                      <a:avLst/>
                    </a:prstGeom>
                  </pic:spPr>
                </pic:pic>
              </a:graphicData>
            </a:graphic>
          </wp:anchor>
        </w:drawing>
      </w:r>
      <w:r>
        <w:t xml:space="preserve"> Sectoral GDP growth saw a contraction in key contributors to the GDP. Trade contracted by 2.82%, </w:t>
      </w:r>
      <w:r>
        <w:tab/>
        <w:t xml:space="preserve">while </w:t>
      </w:r>
      <w:r>
        <w:tab/>
        <w:t xml:space="preserve">Information Communication </w:t>
      </w:r>
      <w:r>
        <w:tab/>
        <w:t xml:space="preserve">Technology slowed to a growth of only 7.65% from 11.08% 2019 full year growth. As a whole, the non-oil sector grew by 1.55% in real terms during Q1 2020, a decline by -0.93% compared to 2.47% recorded in Q1 2019. Economic sectors that </w:t>
      </w:r>
      <w:r>
        <w:lastRenderedPageBreak/>
        <w:t xml:space="preserve">recorded weaker performance relative to Q1 2019 include </w:t>
      </w:r>
      <w:r>
        <w:tab/>
        <w:t xml:space="preserve">Quarrying, </w:t>
      </w:r>
      <w:r>
        <w:tab/>
        <w:t xml:space="preserve">Road </w:t>
      </w:r>
    </w:p>
    <w:p w:rsidR="001C682A" w:rsidRDefault="00B03C38">
      <w:pPr>
        <w:ind w:left="236" w:right="816"/>
      </w:pPr>
      <w:r>
        <w:t xml:space="preserve">transport, Accommodation and Food Services as well as real estate. The oil sector grew by 5.06%, showing a decline from 6.36 percent recorded in Q4 2019. </w:t>
      </w:r>
    </w:p>
    <w:p w:rsidR="001C682A" w:rsidRDefault="00B03C38">
      <w:pPr>
        <w:spacing w:after="0" w:line="259" w:lineRule="auto"/>
        <w:ind w:left="218" w:firstLine="0"/>
        <w:jc w:val="left"/>
      </w:pPr>
      <w:r>
        <w:rPr>
          <w:sz w:val="24"/>
        </w:rPr>
        <w:t xml:space="preserve"> </w:t>
      </w:r>
      <w:r>
        <w:rPr>
          <w:sz w:val="24"/>
        </w:rPr>
        <w:tab/>
      </w:r>
      <w:r>
        <w:rPr>
          <w:i/>
          <w:color w:val="2F5496"/>
          <w:sz w:val="24"/>
        </w:rPr>
        <w:t xml:space="preserve"> </w:t>
      </w:r>
    </w:p>
    <w:p w:rsidR="001C682A" w:rsidRDefault="00B03C38">
      <w:pPr>
        <w:pStyle w:val="Heading5"/>
        <w:tabs>
          <w:tab w:val="center" w:pos="365"/>
          <w:tab w:val="center" w:pos="2993"/>
        </w:tabs>
        <w:spacing w:after="93" w:line="259" w:lineRule="auto"/>
        <w:ind w:left="0" w:firstLine="0"/>
      </w:pPr>
      <w:bookmarkStart w:id="6" w:name="_Toc389370"/>
      <w:r>
        <w:rPr>
          <w:rFonts w:ascii="Calibri" w:eastAsia="Calibri" w:hAnsi="Calibri" w:cs="Calibri"/>
          <w:color w:val="000000"/>
          <w:sz w:val="22"/>
        </w:rPr>
        <w:tab/>
      </w:r>
      <w:r>
        <w:rPr>
          <w:rFonts w:ascii="Arial" w:eastAsia="Arial" w:hAnsi="Arial" w:cs="Arial"/>
          <w:i/>
          <w:color w:val="2F5496"/>
          <w:sz w:val="24"/>
        </w:rPr>
        <w:t xml:space="preserve">(b) </w:t>
      </w:r>
      <w:r>
        <w:rPr>
          <w:rFonts w:ascii="Arial" w:eastAsia="Arial" w:hAnsi="Arial" w:cs="Arial"/>
          <w:i/>
          <w:color w:val="2F5496"/>
          <w:sz w:val="24"/>
        </w:rPr>
        <w:tab/>
        <w:t xml:space="preserve">Unemployment and Underemployment </w:t>
      </w:r>
      <w:bookmarkEnd w:id="6"/>
    </w:p>
    <w:p w:rsidR="001C682A" w:rsidRDefault="00B03C38">
      <w:pPr>
        <w:spacing w:after="122" w:line="259" w:lineRule="auto"/>
        <w:ind w:left="213"/>
        <w:jc w:val="left"/>
      </w:pPr>
      <w:r>
        <w:rPr>
          <w:rFonts w:ascii="Franklin Gothic Book" w:eastAsia="Franklin Gothic Book" w:hAnsi="Franklin Gothic Book" w:cs="Franklin Gothic Book"/>
          <w:sz w:val="20"/>
        </w:rPr>
        <w:t xml:space="preserve">Figure 2.3: Unemployment &amp; Underemployment Rate </w:t>
      </w:r>
      <w:r>
        <w:rPr>
          <w:rFonts w:ascii="Franklin Gothic Book" w:eastAsia="Franklin Gothic Book" w:hAnsi="Franklin Gothic Book" w:cs="Franklin Gothic Book"/>
          <w:sz w:val="18"/>
        </w:rPr>
        <w:t>(Q1 2014 –Q3 2018)</w:t>
      </w:r>
      <w:r>
        <w:rPr>
          <w:rFonts w:ascii="Franklin Gothic Book" w:eastAsia="Franklin Gothic Book" w:hAnsi="Franklin Gothic Book" w:cs="Franklin Gothic Book"/>
          <w:sz w:val="20"/>
        </w:rPr>
        <w:t xml:space="preserve"> </w:t>
      </w:r>
    </w:p>
    <w:p w:rsidR="001C682A" w:rsidRDefault="00B03C38">
      <w:pPr>
        <w:spacing w:after="7" w:line="253" w:lineRule="auto"/>
        <w:ind w:left="236" w:right="818"/>
        <w:jc w:val="right"/>
      </w:pPr>
      <w:r>
        <w:rPr>
          <w:noProof/>
        </w:rPr>
        <w:drawing>
          <wp:anchor distT="0" distB="0" distL="114300" distR="114300" simplePos="0" relativeHeight="251662336" behindDoc="0" locked="0" layoutInCell="1" allowOverlap="0">
            <wp:simplePos x="0" y="0"/>
            <wp:positionH relativeFrom="column">
              <wp:posOffset>127203</wp:posOffset>
            </wp:positionH>
            <wp:positionV relativeFrom="paragraph">
              <wp:posOffset>-15738</wp:posOffset>
            </wp:positionV>
            <wp:extent cx="3322320" cy="1837944"/>
            <wp:effectExtent l="0" t="0" r="0" b="0"/>
            <wp:wrapSquare wrapText="bothSides"/>
            <wp:docPr id="380318" name="Picture 380318"/>
            <wp:cNvGraphicFramePr/>
            <a:graphic xmlns:a="http://schemas.openxmlformats.org/drawingml/2006/main">
              <a:graphicData uri="http://schemas.openxmlformats.org/drawingml/2006/picture">
                <pic:pic xmlns:pic="http://schemas.openxmlformats.org/drawingml/2006/picture">
                  <pic:nvPicPr>
                    <pic:cNvPr id="380318" name="Picture 380318"/>
                    <pic:cNvPicPr/>
                  </pic:nvPicPr>
                  <pic:blipFill>
                    <a:blip r:embed="rId18"/>
                    <a:stretch>
                      <a:fillRect/>
                    </a:stretch>
                  </pic:blipFill>
                  <pic:spPr>
                    <a:xfrm>
                      <a:off x="0" y="0"/>
                      <a:ext cx="3322320" cy="1837944"/>
                    </a:xfrm>
                    <a:prstGeom prst="rect">
                      <a:avLst/>
                    </a:prstGeom>
                  </pic:spPr>
                </pic:pic>
              </a:graphicData>
            </a:graphic>
          </wp:anchor>
        </w:drawing>
      </w:r>
      <w:r>
        <w:rPr>
          <w:rFonts w:ascii="Franklin Gothic Book" w:eastAsia="Franklin Gothic Book" w:hAnsi="Franklin Gothic Book" w:cs="Franklin Gothic Book"/>
          <w:sz w:val="20"/>
        </w:rPr>
        <w:t xml:space="preserve"> </w:t>
      </w:r>
      <w:r>
        <w:t xml:space="preserve">Unemployment </w:t>
      </w:r>
      <w:r>
        <w:tab/>
        <w:t xml:space="preserve">rate </w:t>
      </w:r>
      <w:r>
        <w:tab/>
        <w:t xml:space="preserve">was </w:t>
      </w:r>
      <w:r>
        <w:tab/>
        <w:t xml:space="preserve">23.1 percent (or 20.9m people) as at Q3 </w:t>
      </w:r>
    </w:p>
    <w:p w:rsidR="001C682A" w:rsidRDefault="00B03C38">
      <w:pPr>
        <w:spacing w:after="118" w:line="253" w:lineRule="auto"/>
        <w:ind w:left="236" w:right="818"/>
        <w:jc w:val="right"/>
      </w:pPr>
      <w:r>
        <w:t xml:space="preserve">2018 while underemployment was 30.1%. </w:t>
      </w:r>
      <w:r>
        <w:tab/>
        <w:t xml:space="preserve"> </w:t>
      </w:r>
      <w:r>
        <w:tab/>
        <w:t xml:space="preserve">The </w:t>
      </w:r>
      <w:r>
        <w:tab/>
        <w:t xml:space="preserve">rise </w:t>
      </w:r>
      <w:r>
        <w:tab/>
        <w:t xml:space="preserve">in </w:t>
      </w:r>
      <w:r>
        <w:tab/>
        <w:t xml:space="preserve">youth unemployment, has </w:t>
      </w:r>
      <w:proofErr w:type="spellStart"/>
      <w:r>
        <w:t>fueled</w:t>
      </w:r>
      <w:proofErr w:type="spellEnd"/>
      <w:r>
        <w:t xml:space="preserve"> the rising spate of criminal activities and antisocial behaviour. Government is currently </w:t>
      </w:r>
      <w:r>
        <w:tab/>
        <w:t xml:space="preserve">implementing </w:t>
      </w:r>
      <w:r>
        <w:tab/>
        <w:t xml:space="preserve">various schemes tailored to productively engage </w:t>
      </w:r>
      <w:r>
        <w:tab/>
        <w:t xml:space="preserve">the </w:t>
      </w:r>
      <w:r>
        <w:tab/>
        <w:t xml:space="preserve">teeming </w:t>
      </w:r>
      <w:r>
        <w:tab/>
        <w:t xml:space="preserve">youth population. </w:t>
      </w:r>
    </w:p>
    <w:p w:rsidR="001C682A" w:rsidRDefault="00B03C38">
      <w:pPr>
        <w:spacing w:after="114" w:line="232" w:lineRule="auto"/>
        <w:ind w:left="218" w:right="9793" w:firstLine="0"/>
        <w:jc w:val="left"/>
      </w:pPr>
      <w:r>
        <w:rPr>
          <w:rFonts w:ascii="Franklin Gothic Book" w:eastAsia="Franklin Gothic Book" w:hAnsi="Franklin Gothic Book" w:cs="Franklin Gothic Book"/>
          <w:sz w:val="24"/>
        </w:rPr>
        <w:t xml:space="preserve"> </w:t>
      </w:r>
      <w:r>
        <w:rPr>
          <w:rFonts w:ascii="Calibri" w:eastAsia="Calibri" w:hAnsi="Calibri" w:cs="Calibri"/>
          <w:color w:val="1F3763"/>
          <w:sz w:val="24"/>
        </w:rPr>
        <w:t xml:space="preserve"> </w:t>
      </w:r>
    </w:p>
    <w:p w:rsidR="001C682A" w:rsidRDefault="00B03C38">
      <w:pPr>
        <w:pStyle w:val="Heading4"/>
        <w:tabs>
          <w:tab w:val="center" w:pos="460"/>
          <w:tab w:val="center" w:pos="1750"/>
        </w:tabs>
        <w:spacing w:after="63" w:line="259" w:lineRule="auto"/>
        <w:ind w:left="0" w:firstLine="0"/>
      </w:pPr>
      <w:bookmarkStart w:id="7" w:name="_Toc389371"/>
      <w:r>
        <w:rPr>
          <w:rFonts w:ascii="Calibri" w:eastAsia="Calibri" w:hAnsi="Calibri" w:cs="Calibri"/>
          <w:color w:val="000000"/>
          <w:sz w:val="22"/>
        </w:rPr>
        <w:tab/>
      </w:r>
      <w:r>
        <w:rPr>
          <w:rFonts w:ascii="Calibri" w:eastAsia="Calibri" w:hAnsi="Calibri" w:cs="Calibri"/>
          <w:color w:val="1F3763"/>
          <w:sz w:val="24"/>
        </w:rPr>
        <w:t xml:space="preserve">2.2.2 </w:t>
      </w:r>
      <w:r>
        <w:rPr>
          <w:rFonts w:ascii="Calibri" w:eastAsia="Calibri" w:hAnsi="Calibri" w:cs="Calibri"/>
          <w:color w:val="1F3763"/>
          <w:sz w:val="24"/>
        </w:rPr>
        <w:tab/>
        <w:t xml:space="preserve">Monetary Sector </w:t>
      </w:r>
      <w:bookmarkEnd w:id="7"/>
    </w:p>
    <w:p w:rsidR="001C682A" w:rsidRDefault="00B03C38">
      <w:pPr>
        <w:pStyle w:val="Heading5"/>
        <w:tabs>
          <w:tab w:val="center" w:pos="365"/>
          <w:tab w:val="center" w:pos="1359"/>
        </w:tabs>
        <w:spacing w:after="1" w:line="259" w:lineRule="auto"/>
        <w:ind w:left="0" w:firstLine="0"/>
      </w:pPr>
      <w:bookmarkStart w:id="8" w:name="_Toc389372"/>
      <w:r>
        <w:rPr>
          <w:rFonts w:ascii="Calibri" w:eastAsia="Calibri" w:hAnsi="Calibri" w:cs="Calibri"/>
          <w:color w:val="000000"/>
          <w:sz w:val="22"/>
        </w:rPr>
        <w:tab/>
      </w:r>
      <w:r>
        <w:rPr>
          <w:rFonts w:ascii="Arial" w:eastAsia="Arial" w:hAnsi="Arial" w:cs="Arial"/>
          <w:i/>
          <w:color w:val="2F5496"/>
          <w:sz w:val="24"/>
        </w:rPr>
        <w:t xml:space="preserve">(a) </w:t>
      </w:r>
      <w:r>
        <w:rPr>
          <w:rFonts w:ascii="Arial" w:eastAsia="Arial" w:hAnsi="Arial" w:cs="Arial"/>
          <w:i/>
          <w:color w:val="2F5496"/>
          <w:sz w:val="24"/>
        </w:rPr>
        <w:tab/>
        <w:t xml:space="preserve">Inflation </w:t>
      </w:r>
      <w:bookmarkEnd w:id="8"/>
    </w:p>
    <w:p w:rsidR="001C682A" w:rsidRDefault="00B03C38">
      <w:pPr>
        <w:tabs>
          <w:tab w:val="center" w:pos="1121"/>
          <w:tab w:val="center" w:pos="6361"/>
        </w:tabs>
        <w:spacing w:after="13" w:line="259" w:lineRule="auto"/>
        <w:ind w:left="0" w:firstLine="0"/>
        <w:jc w:val="left"/>
      </w:pPr>
      <w:r>
        <w:rPr>
          <w:rFonts w:ascii="Calibri" w:eastAsia="Calibri" w:hAnsi="Calibri" w:cs="Calibri"/>
        </w:rPr>
        <w:tab/>
      </w:r>
      <w:r>
        <w:rPr>
          <w:rFonts w:ascii="Franklin Gothic Book" w:eastAsia="Franklin Gothic Book" w:hAnsi="Franklin Gothic Book" w:cs="Franklin Gothic Book"/>
          <w:sz w:val="20"/>
        </w:rPr>
        <w:t xml:space="preserve"> </w:t>
      </w:r>
      <w:r>
        <w:rPr>
          <w:rFonts w:ascii="Franklin Gothic Book" w:eastAsia="Franklin Gothic Book" w:hAnsi="Franklin Gothic Book" w:cs="Franklin Gothic Book"/>
          <w:sz w:val="20"/>
        </w:rPr>
        <w:tab/>
        <w:t xml:space="preserve">Figure 2.4: Inflation Rate </w:t>
      </w:r>
      <w:r>
        <w:rPr>
          <w:rFonts w:ascii="Franklin Gothic Book" w:eastAsia="Franklin Gothic Book" w:hAnsi="Franklin Gothic Book" w:cs="Franklin Gothic Book"/>
          <w:sz w:val="18"/>
        </w:rPr>
        <w:t>(Jan 2014 – May 2020)</w:t>
      </w:r>
      <w:r>
        <w:rPr>
          <w:rFonts w:ascii="Franklin Gothic Book" w:eastAsia="Franklin Gothic Book" w:hAnsi="Franklin Gothic Book" w:cs="Franklin Gothic Book"/>
          <w:sz w:val="20"/>
        </w:rPr>
        <w:t xml:space="preserve"> </w:t>
      </w:r>
    </w:p>
    <w:p w:rsidR="001C682A" w:rsidRDefault="00B03C38">
      <w:pPr>
        <w:spacing w:after="171" w:line="273" w:lineRule="auto"/>
        <w:ind w:left="213" w:right="1625"/>
        <w:jc w:val="left"/>
      </w:pPr>
      <w:r>
        <w:rPr>
          <w:noProof/>
        </w:rPr>
        <w:drawing>
          <wp:anchor distT="0" distB="0" distL="114300" distR="114300" simplePos="0" relativeHeight="251663360" behindDoc="0" locked="0" layoutInCell="1" allowOverlap="0">
            <wp:simplePos x="0" y="0"/>
            <wp:positionH relativeFrom="column">
              <wp:posOffset>2241499</wp:posOffset>
            </wp:positionH>
            <wp:positionV relativeFrom="paragraph">
              <wp:posOffset>54340</wp:posOffset>
            </wp:positionV>
            <wp:extent cx="3543300" cy="2590800"/>
            <wp:effectExtent l="0" t="0" r="0" b="0"/>
            <wp:wrapSquare wrapText="bothSides"/>
            <wp:docPr id="7114" name="Picture 7114"/>
            <wp:cNvGraphicFramePr/>
            <a:graphic xmlns:a="http://schemas.openxmlformats.org/drawingml/2006/main">
              <a:graphicData uri="http://schemas.openxmlformats.org/drawingml/2006/picture">
                <pic:pic xmlns:pic="http://schemas.openxmlformats.org/drawingml/2006/picture">
                  <pic:nvPicPr>
                    <pic:cNvPr id="7114" name="Picture 7114"/>
                    <pic:cNvPicPr/>
                  </pic:nvPicPr>
                  <pic:blipFill>
                    <a:blip r:embed="rId19"/>
                    <a:stretch>
                      <a:fillRect/>
                    </a:stretch>
                  </pic:blipFill>
                  <pic:spPr>
                    <a:xfrm>
                      <a:off x="0" y="0"/>
                      <a:ext cx="3543300" cy="2590800"/>
                    </a:xfrm>
                    <a:prstGeom prst="rect">
                      <a:avLst/>
                    </a:prstGeom>
                  </pic:spPr>
                </pic:pic>
              </a:graphicData>
            </a:graphic>
          </wp:anchor>
        </w:drawing>
      </w:r>
      <w:r>
        <w:rPr>
          <w:rFonts w:ascii="Franklin Gothic Book" w:eastAsia="Franklin Gothic Book" w:hAnsi="Franklin Gothic Book" w:cs="Franklin Gothic Book"/>
          <w:sz w:val="24"/>
        </w:rPr>
        <w:t xml:space="preserve"> </w:t>
      </w:r>
      <w:r>
        <w:t xml:space="preserve">Consumer Price Index (CPI), which </w:t>
      </w:r>
      <w:r>
        <w:tab/>
        <w:t xml:space="preserve">measures </w:t>
      </w:r>
      <w:r>
        <w:tab/>
        <w:t>inflation, increased by 12.40% (year-</w:t>
      </w:r>
      <w:proofErr w:type="spellStart"/>
      <w:r>
        <w:t>onyear</w:t>
      </w:r>
      <w:proofErr w:type="spellEnd"/>
      <w:r>
        <w:t xml:space="preserve">) in May 2020 rising for the ninth consecutive month, and represents </w:t>
      </w:r>
      <w:r>
        <w:tab/>
        <w:t xml:space="preserve">the </w:t>
      </w:r>
      <w:r>
        <w:tab/>
        <w:t xml:space="preserve">highest </w:t>
      </w:r>
      <w:r>
        <w:tab/>
        <w:t xml:space="preserve">rate recorded since May 2018. This is 0.06% higher than the 12.34% recorded in April 2020 owing largely to the increase in the cost of food. </w:t>
      </w:r>
    </w:p>
    <w:p w:rsidR="001C682A" w:rsidRDefault="00B03C38">
      <w:pPr>
        <w:spacing w:after="7" w:line="273" w:lineRule="auto"/>
        <w:ind w:left="213" w:right="1625"/>
        <w:jc w:val="left"/>
      </w:pPr>
      <w:r>
        <w:t xml:space="preserve">The composite food index rose by </w:t>
      </w:r>
      <w:r>
        <w:tab/>
        <w:t xml:space="preserve">15.04% </w:t>
      </w:r>
      <w:r>
        <w:tab/>
        <w:t xml:space="preserve">in </w:t>
      </w:r>
      <w:r>
        <w:tab/>
        <w:t xml:space="preserve">May </w:t>
      </w:r>
      <w:r>
        <w:tab/>
        <w:t xml:space="preserve">2020 compared to 15.03% in April </w:t>
      </w:r>
    </w:p>
    <w:p w:rsidR="001C682A" w:rsidRDefault="00B03C38">
      <w:pPr>
        <w:spacing w:after="250"/>
        <w:ind w:left="236" w:right="816"/>
      </w:pPr>
      <w:r>
        <w:t xml:space="preserve">2020. The rise in the food index is exacerbated as clashes between herders and farmers worsen insecurity in addition to the disruption in inter-state travels owing to the coronavirus pandemic. </w:t>
      </w:r>
    </w:p>
    <w:p w:rsidR="001C682A" w:rsidRDefault="00B03C38">
      <w:pPr>
        <w:pStyle w:val="Heading5"/>
        <w:tabs>
          <w:tab w:val="center" w:pos="365"/>
          <w:tab w:val="center" w:pos="1627"/>
        </w:tabs>
        <w:spacing w:after="235" w:line="259" w:lineRule="auto"/>
        <w:ind w:left="0" w:firstLine="0"/>
      </w:pPr>
      <w:bookmarkStart w:id="9" w:name="_Toc389373"/>
      <w:r>
        <w:rPr>
          <w:rFonts w:ascii="Calibri" w:eastAsia="Calibri" w:hAnsi="Calibri" w:cs="Calibri"/>
          <w:color w:val="000000"/>
          <w:sz w:val="22"/>
        </w:rPr>
        <w:tab/>
      </w:r>
      <w:r>
        <w:rPr>
          <w:rFonts w:ascii="Arial" w:eastAsia="Arial" w:hAnsi="Arial" w:cs="Arial"/>
          <w:i/>
          <w:color w:val="2F5496"/>
          <w:sz w:val="24"/>
        </w:rPr>
        <w:t xml:space="preserve">(b) </w:t>
      </w:r>
      <w:r>
        <w:rPr>
          <w:rFonts w:ascii="Arial" w:eastAsia="Arial" w:hAnsi="Arial" w:cs="Arial"/>
          <w:i/>
          <w:color w:val="2F5496"/>
          <w:sz w:val="24"/>
        </w:rPr>
        <w:tab/>
        <w:t xml:space="preserve">Interest Rate </w:t>
      </w:r>
      <w:bookmarkEnd w:id="9"/>
    </w:p>
    <w:p w:rsidR="001C682A" w:rsidRDefault="00B03C38">
      <w:pPr>
        <w:spacing w:after="243"/>
        <w:ind w:left="236" w:right="816"/>
      </w:pPr>
      <w:r>
        <w:t xml:space="preserve">The Central Bank of Nigeria (CBN) has adopted measures to rein in inflation and reduce pressure on the Naira in the foreign exchange market. The Monetary Policy Committee (MPC) recently reduced the monetary policy rate by 100 basis points to 12.5%, the first rate cut since </w:t>
      </w:r>
      <w:r>
        <w:lastRenderedPageBreak/>
        <w:t xml:space="preserve">March of 2019. The decision was aimed at alleviating the economic impact of the coronavirus pandemic and collapsing oil prices. </w:t>
      </w:r>
    </w:p>
    <w:p w:rsidR="001C682A" w:rsidRDefault="00B03C38">
      <w:pPr>
        <w:ind w:left="236" w:right="816"/>
      </w:pPr>
      <w:r>
        <w:t xml:space="preserve">The lower rate is expected to stimulate credit expansion to critical economic sectors to support employment. The Bank however kept the Cash Reserve Ratio (CRR), Liquidity ratio, and asymmetric corridor unchanged. </w:t>
      </w:r>
    </w:p>
    <w:p w:rsidR="001C682A" w:rsidRDefault="00B03C38">
      <w:pPr>
        <w:tabs>
          <w:tab w:val="center" w:pos="1971"/>
          <w:tab w:val="center" w:pos="6132"/>
        </w:tabs>
        <w:spacing w:after="0" w:line="259" w:lineRule="auto"/>
        <w:ind w:left="0" w:firstLine="0"/>
        <w:jc w:val="left"/>
      </w:pPr>
      <w:r>
        <w:rPr>
          <w:rFonts w:ascii="Calibri" w:eastAsia="Calibri" w:hAnsi="Calibri" w:cs="Calibri"/>
        </w:rPr>
        <w:tab/>
      </w:r>
      <w:r>
        <w:rPr>
          <w:i/>
          <w:sz w:val="18"/>
        </w:rPr>
        <w:t xml:space="preserve">Figure 2.5: </w:t>
      </w:r>
      <w:r>
        <w:rPr>
          <w:rFonts w:ascii="Calibri" w:eastAsia="Calibri" w:hAnsi="Calibri" w:cs="Calibri"/>
          <w:i/>
          <w:sz w:val="24"/>
        </w:rPr>
        <w:t>Exchange Rate (USD/</w:t>
      </w:r>
      <w:proofErr w:type="gramStart"/>
      <w:r>
        <w:rPr>
          <w:rFonts w:ascii="Calibri" w:eastAsia="Calibri" w:hAnsi="Calibri" w:cs="Calibri"/>
          <w:i/>
          <w:sz w:val="24"/>
        </w:rPr>
        <w:t xml:space="preserve">NGN)   </w:t>
      </w:r>
      <w:proofErr w:type="gramEnd"/>
      <w:r>
        <w:rPr>
          <w:rFonts w:ascii="Calibri" w:eastAsia="Calibri" w:hAnsi="Calibri" w:cs="Calibri"/>
          <w:i/>
          <w:sz w:val="24"/>
        </w:rPr>
        <w:tab/>
        <w:t xml:space="preserve">      </w:t>
      </w:r>
      <w:r>
        <w:rPr>
          <w:i/>
          <w:sz w:val="18"/>
        </w:rPr>
        <w:t>Figure 2.6:</w:t>
      </w:r>
      <w:r>
        <w:rPr>
          <w:rFonts w:ascii="Calibri" w:eastAsia="Calibri" w:hAnsi="Calibri" w:cs="Calibri"/>
          <w:i/>
          <w:sz w:val="24"/>
        </w:rPr>
        <w:t xml:space="preserve"> Money Market Rate </w:t>
      </w:r>
    </w:p>
    <w:p w:rsidR="001C682A" w:rsidRDefault="00B03C38">
      <w:pPr>
        <w:spacing w:after="0" w:line="259" w:lineRule="auto"/>
        <w:ind w:left="0" w:right="944" w:firstLine="0"/>
        <w:jc w:val="right"/>
      </w:pPr>
      <w:r>
        <w:rPr>
          <w:rFonts w:ascii="Calibri" w:eastAsia="Calibri" w:hAnsi="Calibri" w:cs="Calibri"/>
          <w:noProof/>
        </w:rPr>
        <mc:AlternateContent>
          <mc:Choice Requires="wpg">
            <w:drawing>
              <wp:inline distT="0" distB="0" distL="0" distR="0">
                <wp:extent cx="5618988" cy="2053189"/>
                <wp:effectExtent l="0" t="0" r="0" b="0"/>
                <wp:docPr id="323406" name="Group 323406"/>
                <wp:cNvGraphicFramePr/>
                <a:graphic xmlns:a="http://schemas.openxmlformats.org/drawingml/2006/main">
                  <a:graphicData uri="http://schemas.microsoft.com/office/word/2010/wordprocessingGroup">
                    <wpg:wgp>
                      <wpg:cNvGrpSpPr/>
                      <wpg:grpSpPr>
                        <a:xfrm>
                          <a:off x="0" y="0"/>
                          <a:ext cx="5618988" cy="2053189"/>
                          <a:chOff x="0" y="0"/>
                          <a:chExt cx="5618988" cy="2053189"/>
                        </a:xfrm>
                      </wpg:grpSpPr>
                      <wps:wsp>
                        <wps:cNvPr id="7435" name="Rectangle 7435"/>
                        <wps:cNvSpPr/>
                        <wps:spPr>
                          <a:xfrm>
                            <a:off x="2731643" y="1896857"/>
                            <a:ext cx="51809" cy="207922"/>
                          </a:xfrm>
                          <a:prstGeom prst="rect">
                            <a:avLst/>
                          </a:prstGeom>
                          <a:ln>
                            <a:noFill/>
                          </a:ln>
                        </wps:spPr>
                        <wps:txbx>
                          <w:txbxContent>
                            <w:p w:rsidR="002010BA" w:rsidRDefault="002010BA">
                              <w:pPr>
                                <w:spacing w:after="160" w:line="259" w:lineRule="auto"/>
                                <w:ind w:left="0" w:firstLine="0"/>
                                <w:jc w:val="left"/>
                              </w:pPr>
                              <w:r>
                                <w:t xml:space="preserve"> </w:t>
                              </w:r>
                            </w:p>
                          </w:txbxContent>
                        </wps:txbx>
                        <wps:bodyPr horzOverflow="overflow" vert="horz" lIns="0" tIns="0" rIns="0" bIns="0" rtlCol="0">
                          <a:noAutofit/>
                        </wps:bodyPr>
                      </wps:wsp>
                      <wps:wsp>
                        <wps:cNvPr id="7436" name="Rectangle 7436"/>
                        <wps:cNvSpPr/>
                        <wps:spPr>
                          <a:xfrm>
                            <a:off x="2771267" y="1896857"/>
                            <a:ext cx="205839" cy="207922"/>
                          </a:xfrm>
                          <a:prstGeom prst="rect">
                            <a:avLst/>
                          </a:prstGeom>
                          <a:ln>
                            <a:noFill/>
                          </a:ln>
                        </wps:spPr>
                        <wps:txbx>
                          <w:txbxContent>
                            <w:p w:rsidR="002010BA" w:rsidRDefault="002010B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988" name="Picture 7988"/>
                          <pic:cNvPicPr/>
                        </pic:nvPicPr>
                        <pic:blipFill>
                          <a:blip r:embed="rId20"/>
                          <a:stretch>
                            <a:fillRect/>
                          </a:stretch>
                        </pic:blipFill>
                        <pic:spPr>
                          <a:xfrm>
                            <a:off x="0" y="3175"/>
                            <a:ext cx="2731643" cy="2021205"/>
                          </a:xfrm>
                          <a:prstGeom prst="rect">
                            <a:avLst/>
                          </a:prstGeom>
                        </pic:spPr>
                      </pic:pic>
                      <pic:pic xmlns:pic="http://schemas.openxmlformats.org/drawingml/2006/picture">
                        <pic:nvPicPr>
                          <pic:cNvPr id="7990" name="Picture 7990"/>
                          <pic:cNvPicPr/>
                        </pic:nvPicPr>
                        <pic:blipFill>
                          <a:blip r:embed="rId21"/>
                          <a:stretch>
                            <a:fillRect/>
                          </a:stretch>
                        </pic:blipFill>
                        <pic:spPr>
                          <a:xfrm>
                            <a:off x="2925826" y="0"/>
                            <a:ext cx="2693162" cy="2024380"/>
                          </a:xfrm>
                          <a:prstGeom prst="rect">
                            <a:avLst/>
                          </a:prstGeom>
                        </pic:spPr>
                      </pic:pic>
                    </wpg:wgp>
                  </a:graphicData>
                </a:graphic>
              </wp:inline>
            </w:drawing>
          </mc:Choice>
          <mc:Fallback>
            <w:pict>
              <v:group id="Group 323406" o:spid="_x0000_s1026" style="width:442.45pt;height:161.65pt;mso-position-horizontal-relative:char;mso-position-vertical-relative:line" coordsize="56189,2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SMjOAMAAL0KAAAOAAAAZHJzL2Uyb0RvYy54bWzUVttu2zAMfR+wfxD0&#10;3jq2czWaFMO6FgOGtVi3D1Bk2RZmW4Kk3Pb1I+VL06RFi65Yt4c41MXi4eEh5bPzbVWStTBWqnpO&#10;w9MBJaLmKpV1Pqc/vl+eTCmxjtUpK1Ut5nQnLD1fvH93ttGJiFShylQYAofUNtnoOS2c00kQWF6I&#10;itlTpUUNi5kyFXMwNHmQGraB06syiAaDcbBRJtVGcWEtzF40i3Thz88ywd11llnhSDmngM35p/HP&#10;JT6DxRlLcsN0IXkLg70ARcVkDU77oy6YY2Rl5NFRleRGWZW5U66qQGWZ5MLHANGEg4NoroxaaR9L&#10;nmxy3dME1B7w9OJj+df1jSEyndM4ioeDMSU1qyBP3jVp54Ckjc4T2Htl9K2+Me1E3oww7m1mKvyH&#10;iMjW07vr6RVbRzhMjsbhdDYFQXBYiwajGIZNAngBWTp6jxefnngz6BwHiK+Hs9EgJnvHl/0zvm4L&#10;poVPg0UOWr4mw3jUsfUNdMbqvBTEz3p6/N6eLJtY4O0BpqJJHI6HMSXACfAxno4mDSc9a+F0MOs4&#10;m8yiCJf7wFmijXVXQlUEjTk1AMUrka2/WNds7bag+7LGZ60uZVk2qzgD/HUI0XLb5bYNYqnSHURc&#10;KPPrGuo8K9VmTlVrUSx9cIqrlJSfa2Aaq6wzTGcsO8O48qPytdjA+LByKpMeJzpuvLV4IIUovL+T&#10;y17593I5RrIRAuT9ObmchNF48nguQfTT+C2S6Ss87IJ565xqyRP4tf0MrKP6fLrvw1tuZQRtD6me&#10;dUbFzM+VPoHWq5mTS1lKt/PXCFQMgqrXN5JjmeJgr9R912oaI2xAv2SCcyCObie+h/WE43vHLEup&#10;sdhQ72i3gOEOOujhD8Tc3A8Xiq8qUbvmwjOiBOyqtoXUlhKTiGopoH+bz6lPMEusM8LxAh1m4BgF&#10;jcj2FjzKO2CI+ZH2BNUMjSkOJyMMliVdV+rbVtPLoxCkjTte2pg8ogaDNwFSwy0Y/5FOZsDXoU5g&#10;DohBjlFR/4JO/BWyJ4dX0Ek0i0bTCJro8bUfjWdwxUXdFRYN46ln5FWl4j8A4BvJK7D9nsOPsP0x&#10;2PtfnYv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O2pl8N0A&#10;AAAFAQAADwAAAGRycy9kb3ducmV2LnhtbEyPQUvDQBCF74L/YRnBm92kUUljNqUU9VSEtoL0Ns1O&#10;k9DsbMhuk/Tfu3rRy8DjPd77Jl9OphUD9a6xrCCeRSCIS6sbrhR87t8eUhDOI2tsLZOCKzlYFrc3&#10;OWbajrylYecrEUrYZaig9r7LpHRlTQbdzHbEwTvZ3qAPsq+k7nEM5aaV8yh6lgYbDgs1drSuqTzv&#10;LkbB+4jjKolfh835tL4e9k8fX5uYlLq/m1YvIDxN/i8MP/gBHYrAdLQX1k60CsIj/vcGL00fFyCO&#10;CpJ5koAscvmfvvgGAAD//wMAUEsDBAoAAAAAAAAAIQDqLhcctkQAALZEAAAUAAAAZHJzL21lZGlh&#10;L2ltYWdlMS5wbmeJUE5HDQoaCgAAAA1JSERSAAADHgAAAVMIBgAAALdj2qUAAAABc1JHQgCuzhzp&#10;AAAABGdBTUEAALGPC/xhBQAAAAlwSFlzAAAOwwAADsMBx2+oZAAAREtJREFUeF7t3Q2UFNWd9/Fr&#10;QEV3UQkYJkEjIYAkkmRUNGBAMWwykwWiHLKIAR9gdwhgYpQoAUVXCRA0ElFJFo1zVngMvrDLQUQ2&#10;8JiJCESIoBlXNMxACIkSMUAksioscHjmV33vTE1Nd0+/VXd1z/dzTkNXdU2/3K6uuv+6/3vvSa+/&#10;/vq89u3bzzAAAAAAEILjx48vPqmuru6EXQYAAACAUDQGHr179/ZWAAAAAECu1NfXe/9/xPsXAAAA&#10;AEJE4AEAAAAgdAQeAAAAAEJH4AEAAAAgdAQeAAAAAEJH4AEAAAAgdAynCyArtbW1pqqqyi4lN3Hi&#10;RDNp0iS7lHsLFiwwTz31lKmurjZ9+/a1a9uGVL6Hz3/+82bkyJFm6NChdk3m9u7da9avX29GjRpl&#10;1wAAEB/D6QJAG/Pf//3f5s477zQPP/ywXZOZPXv2mGuvvda89NJLdg0AAK0j8ACQE2rN2Lp1a9Jb&#10;mK0diEn0PWzevNnMmjXLdOzY0Tz66KNm27Zt9i8AAMgPAg8AaAPat2/vpVjddNNN5tixY16rBQAA&#10;+UTgASDv1B+hX79+ZuzYsebw4cN2rfEqxFOnTvUeW7t2rV0bW/+Tn/zEXHnlld5j/fv3Nz//+c/t&#10;o/GtXr26cfvRo0ebdevW2UeaqJ/Cvffe670Pbedu3/rWt8zvf/97u1WM+o/odV999VXvb9y2yZ5b&#10;LTzaxr1fVfb1nm655Ra7VZMtW7Y0bq/bN77xDe8z5NquXbvsveZSLYuVK1eaq666yhw6dMj73Nom&#10;mLqVr88CACguBB4A8q68vNyMGTPGbN++3SxZssSujQULGzZsMIMHDzYVFRXeOgUd06ZNM4sXL/Yq&#10;u27d/fffn7CvwvLly72+DG77nTt3mhkzZjRLL3L9FNQZXe/D75VXXvHeXzAdSa/7L//yL97fOMme&#10;++WXX/aW3fv9t3/7N285SJX5KVOmNG4vu3fv9j7DD37wA7smO3oPTz75pFm6dKnp0KGDufTSS+0j&#10;mZVFIvn4LACA4kTgASAnHnnkkcYr3PFuAwcONO+++67d2pjrr7/elJWVNfY3UCvI7NmzvUrxzJkz&#10;7VZNwUjPnj29irH6K6hym6ivgirYv/jFL8z8+fMb+zYMGjTIW//rX//abmXMsmXLvMDkn//5n83G&#10;jRsb+0I8++yz3vsKbu8oZSnecyswEt3X43rur3/9643PvXDhQq8VxwVDjvvc+nyPP/54s/dx8cUX&#10;m2eeeaZZ609rEn0PanXR+5LrrrvOdOrUybsv6ZSFWjtc+StA1Hau706uPwsAoLQQeAAoiFNPPdXM&#10;mTPHq9Tq/9tvv91bf8cddzRWivWY0nlU2dfjn/70p7313bp1a+yrEC84mDBhglcpFv3tuHHjvPs7&#10;duzw/heldKlSrABIwY6jirY6aCeS6Lmdd955x6uA9+nTx3z/+99vfO4BAwZ4ny3o+eefb/x8/mHN&#10;9T4efPBB7//nnnvOrs3ORRdd5AUEwU7+mZZFUD4/CwCg+BB4AMiJ1ka10pV0/1V2cSlXSldSHwN/&#10;ipUcP37cCxZ0BV03P1151/MGK9Gq+H7pS1+ySzFnn322d4U+HgUvSgVSAKN0qO985zveVft4Unnu&#10;ffv2ea0HagnxV+JFLQ/+bfXaf/rTn7z/x48f36KVQq+lctHN3xcmmeD3oJYWvabKb/r06UnnbEqn&#10;LILC+CwAgNJC4AGgoNTZWlSpV4U1X1RBVmdqpSCp8/ONN97odQBX+lS+uMCqNQoGPvzwQ7uUHrW0&#10;qGO8gju1zvjT3ZxclEU+PgsAoLgReAAomCNHjjSmWKnye/fdd+ftarhaAtRnRAHPiBEjvLSoBx54&#10;wOuHEC8lKgzt2rUzvXr18lpGlILkb6nw3+K1FqXDtSypbG+44YYWZZyLssjXZwEAFC8CDwAFo1Ge&#10;lHqjTs3xRrlylVldrdfNL9nQtK1RwFNTU+P1w1AfEnVmHzVqlJcO9LGPfSzu8LipcqlX6hAfrOCr&#10;4u3vXK6K/ic/+Ulvu7BnAXed+YNlnKuyyOdnAQAUJwIPAAWhDthuaFcN5Roc5UpUmVW/D7WGqAO6&#10;m09CwYobOeorX/mKty4TCmb86UR63m9/+9te0JCprl27ei0MquD/6Ec/agw+Nm3a5PWbCHKpZhpu&#10;1j/XhT6zhr9V/4hMgqsg15lfHnvssRYpV5mUhd6jP7jK12cBABQnAg8AOdHacLq6uQkD/SlWbhQr&#10;/yhX/pQrzbatjtqqGF9zzTXe8wwbNsyrEOsq/RVXXOFtlw691pAhQ7zXUkXYvT89r3/+iVT6LAQp&#10;WNJzqtVDqUoaRljPrRSn4FC6oiBFfVv0XlRhd+/FDX+rwMw/vHA2+vbt65Wlynbu3LneumzKQmlT&#10;+nxuPpV8fhYAQPEh8ACQdy7FKjiKlasY+9OBVJFXx2dVaN2IUFqnOTKqq6u9ymwmFAj4n1O6d+/u&#10;jeSkq/Nar/fov6KfKg33+8QTT3hzVzgaVeq+++5r9nqOXlP9LBRIOe4z/vKXv8xZnwh/UKQUKjen&#10;Rrploc/nnkf8QUm+PgsAoPicVFdXd0J3kg2xCADIntLLqqqqvCFvg8MAAwBQqurr673/afEAgBxy&#10;nd6VguT6pIhaDBYtWuTdV2sCAABtDS0eAJBD6t8wbdq0hJ2ylV6m/g4AALQVtHgAQAji9UkRtXLM&#10;mjWLoAMA0GbR4gEAAAAgNLR4AAAAAMgbAg8AAAAAoSPwAAAAABA6Ag8AAAAAoSPwAAAAABA6Ag8A&#10;AAAAoSPwAAAAABA6Ag8AAAAAoSPwAAAAABA6Ag8AAAAAoSPwAAAAABA6Ag8AAAAAoTuprq7uhO70&#10;7t3bWxEFe/bsMWPHjjWHDh2ya4yZOHGimTRpknf/2LFjZtq0aWbDhg3esgwePNjMnz/fLhlTW1tr&#10;qqqq7FKTDh06mFWrVplOnTrZNQAAAADCUl9f7/0fuRaPlStXmquuusrMmDHDbN26tfHmgg5ZuHCh&#10;adeuXeNj1dXVZt26deaWW26xW8S0b9/eLF68uNnzbNy4kaADAAAAyLNIBR5q6bj//vu91o2Kigq7&#10;tqWpU6c2a90oLy83Y8aMMZs3bzbvvvuuXQsAAAAgKiIVeKhF4ujRo2bUqFF2Tep69Ohh7wEAAACI&#10;msgEHuq3oXSp7t27m9NOO82uTd2uXbvsPQAAAABRE7k+Hl26dDG33nqr6devX+NNHc0PHz5st2hJ&#10;KVrPPPOMue6665r131AwM378+Mbn6d+/v9m2bZt9FAAAAEC+RGZUqyNHjpiRI0ea/fv3e53F+/bt&#10;22z9WWed5a3XqFR+boSrLVu2tDpa1YIFC8zSpUvN3Llzk/YhyZbruQ8AAADkW5RGq5XIjWqlUap6&#10;9eplBg4c2Bh0yKmnnup1Nt+5c6d3C9IIV5s2bTIPPfRQq6NVXX/99aasrMw899xzdg0AAACAfIhM&#10;i4drudi3b1+Llg0NsTtv3rxmLSGi9bNnz065BSPZawAAAADIvci1eGjODU0CuHv3bvPhhx/atTHq&#10;OK7Hu3XrZtc0BR2tDb3rd/z4cbNjxw6v1YOgAwAAAMifSHUuVwfwk08+2WvBcDQDufpl+DuOa50L&#10;OvwTCzpq2dBcH2vXrrVrYus0KeHBgwfNzJkz7dpYAKPX9W8LAAAAILcik2rlaIQqjWJ16NAhu8Y0&#10;S6Vy6VIbNmzwloPUaqLJBRWcVFVV2bUxffr0iZvGlU66FgAAAIDUuVSryAUeAAAAAEpH5Pp4AAAA&#10;AChdBB4AAAAAQkfgAQAAACB0BB4AAAAAQkfgAQAAACB0BB4AAAAAQkfgAQAAACB0BB4AAAAAQkfg&#10;AQAAACB0BB4AAAAAQkfgAQAAACB0BB4AAAAAQkfgAQAAACB0BB4AAAAAQkfgAQAAACB0BB4AAAAA&#10;QkfgAQAAACB0BB4AAAAAQkfgAQAAACB0BB4AAAAAQkfgAQAAACB0BB4AAAAAQkfgAQAAACB0BB4A&#10;AAAAQkfgAQAAACB0BB4AAAAAQkfgAQAAACB0BB4AAAAAQkfgAQAAACB0BB4AAAAAQkfgAQAAACB0&#10;BB4AAAAAQkfgAQAAACB0BB4AAAAAQkfgAQAAACB0BB4AAAAAQkfgAQAAACB0J9XV1Z3Qnd69e3sr&#10;Cqm2ttZUVVXZpSYdOnQwq1atMp06dbJrjDly5IgZOXKk2bt3r11jzNy5c01FRYVdSm0bAAAAAOGp&#10;r6/3/o9ci0f79u3N4sWLzdatWxtvGzdubBZ07Nmzx1RWVprhw4c3bnPHHXeYmTNnmrVr16a8DQAA&#10;AID8KMpUq2XLlplu3bqZcePG2TXGDB061AwaNMg89thj5vDhwyltAwAAACA/ii7wUPpUTU2NF0Ao&#10;BctRS8ngwYPNzp07zRtvvNHqNroBAAAAyI+iCzz2799v3n//fdO9e3e7psl5551njh07Zl555ZVW&#10;t1EqFgAAAID8iHzncrVSVFdXm759+3rLbpt4ncTdYyNGjDArVqxIuk2YncxdBxoAAAAg36JQr/eL&#10;ZOfy8vLyxo7g7nbNNdeY8ePH0yEcQNE65a+7zOlvveTdPvrSz0znFxeaLht+bM5Zdp1367a8ypz6&#10;l9/ZrQEAKE2RavGIxw2J26dPHzN//nwvRWrs2LFmxowZCVszJk+ebJYuXZp0G4bVBRCKA7uNWTbV&#10;mL3bY7dUde5uzKyG4OPkpn5pAACUgsgOpxvUrl0706tXL28uDv9IVLt3N5zcA/74xz96qVnnnHOO&#10;t5xsG414BQA5dbThGPXg14ypfTq9oEMUsOjvAAAoUZEPPI4fP2527NhhysrKvBGqunbt6qVkbdiw&#10;oVkgog7j69atMz179jQDBw5sdRvdACCnnp2VfsDht2mJvQMAQOmJTOChoGDq1KnN+nJondKlDh48&#10;6E38J2qt0Nwc27dvN0uWNJ2kV69ebTZt2uRt//d///etbuOG2V25cqXp168ffUgAZGfXZmPW3G0X&#10;As4fHLuVX23MsDtjt3GPGjNlhd3Aen1NrOUDAIASFPlRrdS3Q6Na+efjkOC2wdGvJJVtFHjMnj2b&#10;Ph8AMqcUqzkXNm/tSLXPxn1XGlO3zi40UFAy/C67AABA8XN9PCLfuRwAIm/FrS1bO25+vuHAOtgu&#10;JLHlSWOqr7ULDRSw/PAPdgEAgOJXNJ3LASDS4qVYXTE5taBDlH51+ll2oYFSrZRyBQBAiSHwAIBM&#10;KcVqyQS7YKnF4p8W2IUUKBXrktF2waKTOQCgBBF4AECm4o1iNf7R9OfiGDTJ3rE0rO4HB+0CAACl&#10;gcADADKRbYqV37nlsZujlpRNi+0CAAClgcADANIVL8XqjLL0UqyCBoyzdyzSrQAAJYbAAwDSlasU&#10;Kz/18/D//Zu1sRsAACWCwANA6dHIUItGGPPg12IpUbkUL8XqsvHGXFBpFzKkFhONcOVHqwcAoIQQ&#10;eAAoLQo6fnxlrIO2hqVd2BB8vLfXPpilMFKs/FqkWy2OvSYAACWAwANA6dBIUGrlUPDhaN2ae+xC&#10;lhKlWPnn4ciGWk0UyDh67wqgAAAoAQQeAEqDWgbuu7JlYCDrH8q+1SOsFKugywND65JuBQAoEQQe&#10;AIqfgg716UjUGVuPZ9Pqob+vvtYuWLlMsfJTMOOndDF/Cw4AAEWKwANA8VO/C1XQ/fwpS5JNq8d/&#10;TG1Z+c9lipWfZj4/PzAXyIvM6QEAKH4EHgCKm4KOLU/aBatHf2Nm/S5WiXfUarF0il1IgwKaFxqC&#10;Fr8wUqz8gjOZk24FACgBBB4Aitequ1q2BmgG8Bt+EWuNGBVIhVJH7XTmxlDn7sWBUawUzISRYuWn&#10;YXX9rSlqbQm26AAAUGQIPAAUp5r7Y6NM+SkomLKiqdKuCrwCEb/g3yTz+JSW6VlhpVj5aSJBTSjo&#10;R6sHAKDIEXgAKD5q5Vg21S5YCgZufr55epUMu9PesVJt9VD6VjCFa8hNxvQO9L8ISzDdSu9bLTAA&#10;ABQpAg8AxUUpR2qJ8FPQ8b04QYfEa/VYcau9k4BaOYKvUdbHmBHz7EIe6D3737f6qGhCQQAAihSB&#10;B4Diobk0NGyuKuGO0pKqnmgZXPgF+3ooeEk2MZ/6dfhbF/Qa4x6N/Z9PLWYyJ90KAFC8CDwAFAel&#10;Ry38WvOgQxR0tDbClNKj1PLhl6ivh0awCnbkrpgeGykr39TPwx/sqAzS6RwPAECEEHgAiD61Pqil&#10;I9jHQa0QwYAikWBfD1Xgg60eGj1Kc3b4KeConGEX8kxzkQQ/H60eAIAiReABIPo0a3hwAj8FEsFZ&#10;vpNRKlZrrR56nWAaVyFSrPyC6VaaCHHvdrsAAEDxIPAAEG2aqyOY+qTRpYY3rE9XvFYPNw/Imrtj&#10;fUj81JlcncoLSWlk/lnYFRg9+DVGuAIAFB0CDwDRpVSoYKuEUp8yHV1KrR5XTLYLlka4UsARfJ3z&#10;B8cCnCgIfl61/mjGdgAAigiBB4Boile51pV/TRCYTeqTWj38f6+hc++7snmKlYbnVYpVVCilLJhW&#10;pqBMrUEAABQJAg8A0RMvnUjBwsQnmqcdZUJ/f3mg1SM4UtY/LYg/J0ghfXNRy5G11EoTTEMDAJQ2&#10;nbM011QwPbgIEHgAiB61dAQ7UCvdKFezhldOT9xqog7o6XRazxe9Xw0drNYYv3gd7wEApUuDjGjo&#10;93sGxAKQIurzR+ABIFpq7jdmy5N2wdJ8FrnsbxGv1UO0fswiuxBBaoVRqpmfG2o42GoDACg9Sg/2&#10;90lUAPL0rXYh+gg8AERH/bpYZ28/jSoVRn8LtaAE07YUdGSbyhU2tfoEO5trdC5d9QIAlDYFHcE0&#10;5OCIjRFG4AEgGnQV55HAPBpKK/ruLxKnRWVDzzm+IaBxqUs6cKc6GWGhaULD4HvVsMBqLQIAlCZd&#10;ZFILh1+8i2gRdlJdXd0J3endu7e3AgDyTsGGRpYKdpRTWlGxBAP5piteyu/194VRMPW951t2QgcA&#10;FL85F8aCD0dDxE/fFM7FuRyrr6/3/qfFA0Dhubk0/IqpBaIQ1FITHFpYAZz6e6j1CABQOtSq7Q86&#10;RK0dRRB0+BF4ACiseClCmq07k5nJ2xr1f9FIV34KOjTSFZ3NAaA06Hge7P+oC3M6VxYZAg8AhROv&#10;U7RGbgpWppGYTj7BEb/q4nTSBwAUJx3P/S3ZauUYtcAuFBcCDwCFEW8YWB1MlT4UnKsCyekEdH5g&#10;jhO1Iq25u6jGdwcABOgCnebt8KuYHr1JblNE4AGgMDRJYHDiO83Orc5ySJ9aiYInIl0l+/7HY2Vd&#10;hDPcAkCbp+O4/wKdRrDSyIZFisADQP7pSnzt03bBUrpQFGcMLxY6GSn4CHY01AlL/Wg0Atadn4kN&#10;xUgrCABEn86Tr6+xC5bmmyqyDuV+kRpO99ixY2batGlmw4YNdo0xHTp0MKtWrTKdOnXylo8cOWJG&#10;jhxp9u6NP2rL4MGDzfz5801tba2pqqqya5sEnw9AnmmSwB9faRcsDf+qYWCL+GAaGZr1Xf1mkgUX&#10;KmfNBj9oEkPvAkAU6aKRLhb5MwOUUqtzZRFyw+lGKvBYsGCBOf30082kSQ0nwwYuyDh48GCrwcKe&#10;PXvM2LFjzejRo72/V+AxefJkU11dbfr27Wu3AlBQ6hw3+8LmneTUn+P23xZtvmokqXzVyrH+4Zbp&#10;bEEaGUtDFysQAQBEw6q7YrOUO7pgpDk7ijQdOZLzeEydOrUx6JBTTz3VTJw40WsJUWCRzLJly8zR&#10;o0fNqFGj7BoAkaKrNxrm1R90SLy+CciOywH+4R9iM78nCyo0AaG+lwe/1nqQAgAIn86Ta++xC9bl&#10;k0uiD2RJ9PFQy0hNTY3p378/KVRAVKmDnIZ59dOV9iIch7yoqHwV3N37dmyyqURBnvKI1ayv/jcA&#10;gMJZOqVlh3KdL0tApAMPpUvNnj3bTJgwIWm61Jo1a8z+/fvN+PF0TAUiSR3kgpMEKleVSQLzJ5VW&#10;EJ3oFCCqIzqjYAFA/ul8GRx8RUFHiQwzH/nO5Uq18qdfBbm/2bdvn9efQ53HJV7n8vbt29PnA8g3&#10;pe/MubB5Z2dddZ+xKVYZRuEozSrZULsKVHTCo9M/AIRL58j/mBrrn+en9Cr1gyxykexcHuQ6l6s1&#10;I1HA4AKMuXPnmoqKCrs2PnVeX7p0aUrbZsMVLtDWnXTsiDnvsavNKX/dZdcYc6L9qebNf/q/5vAn&#10;mK8jKs6sfcKc/ev7zEcOv2fXNDl6Rjfzl6/MMu93H2TXAAByqeP21ebs539o2n+w365p8sfrnjZH&#10;PvYZu5S6qNXrI9m5PEidy5cvX266dOliFi8ORIAN1NqxZMkSr5Xj0ksvtWsTu/76601ZWZl57rnn&#10;7BoAYepac1ezoEP2D7qZoCNi/lZ+rdk94Rdxg4uT39tjui2vMmVrb40bmAAAMqNAQ8fXj6/+Xtyg&#10;48CA72QUdERZpFs8JFEqlQSH0G1NsucCkGNqLlYaj1/51cZMWWEXEEnqZL644XsLjj4WBeoXpOF/&#10;u30hln7AHCQAipUG8tDIVfHmXNJxThMF9m445pWIoki1Epdu1adPH29iQD+lTj311FMp99tI9lwA&#10;ckhBhyax84/KoQOp8lTpLxB9OhE+fWtslvOoU/ChICTbYESBlvq8yJu1sTI4dsSYP2TQyT44elsi&#10;CqTktLOMOafh/Yt+J2favk/ZVjo0Wafod+j68Xz4N2Peavh8fp9qKLP2p8b6XH284fXdukL9VlX+&#10;ur31avP3ek7D93vambH7/rJLNMSo+/z7dzcNFb3jhdj/mVDftI+eFysXt5/pPZVIp1/kSRvtWxe5&#10;wMMFBTfccENj/wvXQrFp06YWwUWyIML9XWVlZYvn2rJlS7PJCFeuXOmNnBV2vw+g5Klys76holrz&#10;QMv5IHQAVdChShWKh06MOkG6CjkKwx8QtCbVoCdV/tfW77dj19h9Vbz1u27vq4RnIhhkZPP+3VDR&#10;hZiPRsGHC4DCKCfkXi4vNjjJglOdIzUhYKIhy7X9uEfNgZO7mWXLNpna2tT244cf/pa9F22RbPGI&#10;NxKVAot4aVGtBQypPheBB5AlHbx1ZfxXDQFHvCZjaTiYmssY7roo6WSpE2Wy7xeQdAIkyXWQVCwK&#10;GUgiehSUVEyPtXQ0mDNnuXnzzQPe/VQQeABoG3RVUfmpSqvyp1QFqcmY+TqQLQW4uiqpVpg//CZ2&#10;P4r9UAAgVZrgdfyjsWC0gVo5Fi36f979VBF4AChtqvgp4AhOcBSkFo4v35g4/xrIVi6DEf9VaNfn&#10;wZ8+E0Yuv+uDoJYkvXf56x+bUoW0LtNWJn+qhz5b1/Nj95UK0sWmJDlvb4+Vmz/NxK0rBFfuva6I&#10;/e/K/W8N78elxrxT1/T+9P0HL34Evzv1Dcn0+0zWV6SQ5YTipd/kqAXNJnI9evS4ueeep9Nq7RAC&#10;DwClSSd3dThO1vSvE/mAhoBjSEPA4fKtARQvVehdMJJOxT9VLhhwQYZuxXjsCLuckHu5vNiQanCq&#10;CwK6KHf1vBbPXVPzmte3wzn55HZm1qxRpnPnjnZNcSPwAJAaHTBXNAQcwdlU/VRRULChoCPVAzUA&#10;APBaO2677Qnz3nsf2DUNp9QhnzOjRg2wS8XPBR6RnkAQQIHV3G/MnZ9JHHToypA6jv/wDw1HyZsI&#10;OgAASNP69W80CzrU2lFZaYfYLjEEHgBaUrPxnAuNWTY1fo65JgK8+fnYELmMVgUAQEbU2rFmzat2&#10;Kebyyz9rzjjjdLtUWgg8ADRRWlX1tcb8+Mqmzq5+Gp9eAYdmHy+hGVUBACiEttTaIQQeAGI0V4PS&#10;qrY8aVf4KIVqxDxjZv2OgAMAgBxQwLFixUt2KaaiorxkWzuEwANo615fEws41IE8XlqVhvtTwGEn&#10;NwIAANlTipVSrRwFHJWVdlStEkXgAbRVSqW670pjHvxa09CPfkqr+u4vjKl6IjbsIAAAyAm1dijN&#10;yk8pVkq1KmUEHkChqV/FohGxIEDpTm4M8LDo+dWPQ53H483JoXHGlValjuOaVRUAAORUvNYOdSov&#10;dczjARSSJpNSABBscTh/sDH9x8VGj8rVELVKo3p2ljHrH0o8iZVeb8wiWjgAAAiJWjs0b4c/8NCc&#10;HZq7o1QxjwcQBWrhiJfmpJaIJROM+f7HY60TtU/bBzKgIEOvM/NTsXk54gUdPfo3jVZF0AEAQGg0&#10;Q7k/6NDs5G2htUMIPIBCUcCx9h67kICCBI0ypVSsaQ1ByONT4g9zm4gm/rutIeBI1HFcM44r2Ji+&#10;idGqAAAI2ZtvHjBbtvzeLsWotaPU+3Y4pFoBhaI+Hf4+FmppUFpVvBaQXNNrVU6PzTYOAADyYtGi&#10;/2dqa5v6cp57bmdz++0j7VLpItUKKCS1RAQ7drt5MnRTQBBGypM6jg+7s+k1AABAXqi1wx90yLBh&#10;F9t7bQOBB5BvGsVKqU9+6kx+2fjYfQ1jO2qBMfe+HRvOVusVMGTrisnG/PAPxgy/K3cd1gEAQEqe&#10;ffZley9GrR3l5d3tUttA4AHkm4IOBR+OgopvLrILARrOdtyjxix4N/Z/JsPbaqQqtXDoNeg4DgBA&#10;3tXX/7nNt3YIfTyAfKpfZ8yPr7QLllKf1ArRBu3a9Y751a+2mffe+9Ab1aNr1zNNjx4fM+ec08Wc&#10;fvopdisAAIrbnDnLvVQrRy0dU6Z81S6VPtfHg8ADyJd4c3YorUoT9eUilaqIaAzzFSu2mBdfrLNr&#10;WtJkSh//+FmmV6+Pm7Kys7ybmqUBIJd0JVo0vOmuXX/x7n/44f+at95qqiSm47TTTjHnnBM7Vum4&#10;deaZp3n3e/f+hPd/kHv9/fsPmQMH/se7v2PH297/6airiz0PioM6lLelcxqBB5Bvq+6KTeDnp7kz&#10;2tgwtjU1r3l5rh988L92DQC0HbqooqFTDxw4ZNegrWlrrR3CqFZAPsWbs0OdxttQ0KG0KjU1a+Ik&#10;gg4AbZVafAk62ra22LfDIfAA8kET//lnDFcnbw2f2wboJLtkyQvmnntWNstvdZSKoCs/I0Zcai67&#10;7HzTo0dX+wgAAKVFQUdbThsm1QoIm+bsWDLBLlgaocoNn1vCkqVVqfN4RUW5qawst2uaU5Cyd+9B&#10;76Z857ffPugFMQCQK0p5chc7zjjjNNO1a2yo8c6d/9506dLRu5/qYBeur4aOd+4iy1//+j+NrRtv&#10;vrm/xbFQz3vuuV28++oXov4hsXWxiikDbaBU0McDyAcNmzv7wubD52rOju89bxdKk060mp01XguH&#10;XHLJp82oUQO8XGcAAFDa6OMB5EM6c3aUkOrqXyVMq7r55mGmqmoIQQcAAG0MgQcQFs3ZoTQrv4rp&#10;sSF0S5jSDdSR3E+pAurDMWvWqIRDSgIAgNJG4AGEQa0ciwP9OhRwVM6wC6WrpmabvRej/GkFHIn6&#10;cgAAgLaBwAPINY1etWiEMQd22xXWmEUlP1Gg+nbU1jb/3CNGXEJaFQAAIPAAck4jWO3abBesITe1&#10;iTk7gq0dGpmF1CoAACAEHkAuaXbyLU/aBeuCSmNGLbALpevo0eNm/fo37FLMl7/c194DAABtHYEH&#10;kCsKOJ6dZResc8uNqXrCLpQ2BR0KPhylV11ySU+7BAAA2joCDyAXlFoVnCRQs5NPWWHM6bEJqUrd&#10;mjWv2nsxQ4b09SbnAgAAEAIPIFvqRK7O5OpU7qgTuYKOzt3titKmDuX+WcUVcFx2GZOSAgCAJgQe&#10;QDY+OBgLOvyTBMq4R43p0d8ulL61a5u3dlx22fmMZAUAAJoh8ACyUX2tMW/W2gVrxDxjLhltF0qf&#10;ZigPThg4aNBn7D0AAIAYAg8gU8umGvP6GrtgKeBoA5ME+q1d2zzwuuCCc71hdAEAAPwiFXgcO3bM&#10;TJ061fTr16/xdsstt9hHm9TW1jbbxt0GDhxo3n33XbuVMUeOHDHDhg1rts3atWvto0AWXnjImJr7&#10;7YJ1/uBYilUbon4dwQkDL7+c1g4AANBSpAKPhQsXmnbt2pmtW7d6t+rqarNu3bq4wUf79u3N4sWL&#10;G7fVbePGjaZTp07e43v27DGVlZVm+PDhjY/fcccdZubMmQQfyI5aOR6fYhcsdSKfvKLkZyYP0khW&#10;/iF01dJRXt42OtQDAID0RCrwUGvH/Pnz7ZJpqMCUmzFjxpjNmzc3a8lIxbJly0y3bt3MuHHj7Bpj&#10;hg4dagYNGmQee+wxc/iwbwQiIFXqz6F+HX4aLve7v2gzw+Y6Cji2bPm9XYoZMICRrAAAQHyR7+PR&#10;o0cPey91SrGqqanxgowOHZquQKuVZPDgwWbnzp3eDUiLgo77royNZOWohUMTBJb1sSvaDk0Y6B9C&#10;V6NYXX75Z+0SAABAc5EPPHbt2mXvpW7//v3m/fffN927t0z5OO+887y+JErFAlIWL+iQf1pgzAWV&#10;dqFt2bSp3t6LueSSTzNhIAAASCjSgYeCg2eeecZcd911jX03HAUP48ePb+w03r9/f7Nt2zbvsX37&#10;9plDhw5594GsJQo6ht1pzBWT7ULbog7lGkbXUcBRWfkFuwQAANDSSXV1dSd0p3fvaOVmK7CYNm2a&#10;2bJli1m1alWLwCNowYIFZunSpWbu3Lmma9eupqqqyrtfUVFht4jRiFiJHsuV+vrmV4JRvE79y+/M&#10;uf/xf8xHDr9n18QcGPAdc+CyG+xS27Ny5Tazc+d+u2RMz55dzFVX9bVLAACgkKJWr3d148i2eGiE&#10;q02bNpmHHnqo1aBDrr/+elNWVmaee+45c/bZZ5uOHTvaR4DMEHTE95e//E+zoEMGDGAkKwAAkFwk&#10;WzxWrlxpZs+enVarhGshUZrVXXfdZSZOnGhGjx5tJk2aZLeI0XPPmzfPG6q3b1+u0CKBZOlVw++y&#10;C23T449vNC+88IZd0gAQXc306VfZJQAAgOYi2+Lhgg4FDumkQh0/ftzs2LHDa/VQp3INxbthw4Zm&#10;w+YqONG8ID179vRuQFwEHQlpFKsXX6yzSzEVFfTtAAAArYtU4KH+Fy7oCLZUOAoeNN+HfxJArZsx&#10;Y4Y5ePCgN0Gghs3V/B3bt283S5YssVsZs3r1ai99S9u6YXYV6DCjeUh2bY7NeaFb/Tq7MuIIOpJ6&#10;8cX6ZhMGaghdJgwEAACpiEyqlUuVUitFPJp/w00u6DqI+/Xp08dLn/LP2xHcTgFJMMUqk7QupGBV&#10;QyX92Vl2waqcYcyIeXYhggg6klLAcdttTzSbu2PUqAFmyJDP2SUAAICWXKpVZEe1QpHau92YJRNi&#10;rR3x9Ogfm3Cvc4SukivgeH2NMWvvIehIQrOUV1fX2KXYELo/+tF15vTTT7FrAAAAWor8qFYoQi8u&#10;NmbOhYmDDtFj2mbLk3ZFAby3N/ZelQI27eOx97PiVoKOJD744H/NihUv2aUYzVJO0AEAAFJFiwey&#10;p4r84gmxVoOg088y5rSG24HddoXPZeON+eYiY05uSo8LxdHDsT4mr6+NvUe1yrSGoKOZJUteaNGp&#10;/Ic/vNZ07syw1QAAIDlSrZAbqsgr6FDwEXRBpTHjH40FHo9PibUyBJX1iaVenVtuV2RAqVIf2taK&#10;OtuJ/dgRY/5gW17culSpH4r6o8CjgEOBh99ll51vxo27wi4BAAAkRuBRzJSmtPWpWGX7sxXGXDI6&#10;/30m1IqQKJhQC4ZaDIKVd71v/U0wpUnbq7I/5Ca7Ig4FF7q99WrDreH/t7fHD3YycUaZMX0bgqRe&#10;DRVp/a9leA4cOGTmzFnupVo5ZWVnmdtvH+n18QAAAGgNgUexUXrQpiWxin68Cvf5g43pP86Y8qtj&#10;6U3p0HOr5cKlImVDLRdqwVBLRjxKuVLfinj9QNRCor/VNv4gI90Wi1TotS5oCNp6N5RbNq0tJe6e&#10;e1aaXbvesUuxDuXf+94wb9JAAACAVBB4FAO1KqiVYMPDyTts+6n1QMFHv2ti/yeiPg+1K1Pv85AK&#10;tXCopSOVPhvqzL3mbruQBwouFGQo2FDQgVatWvWyefbZl+1SzIgRl5rKSgI1AACQOgKPKFMg8KsH&#10;YkFHMC0pHUoZurAh+Bg0KZaKpSDjVRtsZPO8QXqdKStiQ+WmQ8HPI9dmnzKl11Ww077h9qkvxtbp&#10;83ax6WfnNFSU020FauPUyqHWDr/zz/+E19oBAACQDgKPKFJAoEn3WmvdUEVfI0Kd0dWY9Q/nrsUi&#10;E1dMNubqeZlX7BUAKfWqtRQvPb9aLdQPQ//rFqW5QEqI+nOoX4f6dzgaNnfWrFHeTOUAAADpIPCI&#10;EvVn+I+prfdlUIrQgHGxzuR+CjwUgKiFJNPWA6VlqaO6OlcXokJfc3/D7YFY/w6CjIKKN3TulClf&#10;NeXlfAcAACB9BB5RoEq2+jooYEhElfDLJzfcbLpUa9RyoBGv9JzqI5KIG8npC1fFAppU+mWg5DF0&#10;LgAAyDUCj0JSepFSqtY/lDg4UL8F9c1Q60YmQYHrmK4gxKUxqeVAQYY6nus+4MPQuQAAIAwEHoWg&#10;YEApRWvvSdy5WwGH5rTQCExAHjF0LgAACIMLPD7i/Yvwaf6N2z4VS62KF3QojUojQ03fRNCBvNPQ&#10;uf6gQ4YNu5igAwAA5AwtHvmgUZsS9eNQX4vK6Qln7a6v/7P3//79h8yBA//j3d+x423v/3TU1cWe&#10;B0gFQ+cCAIBcIdUqn9TH4sGv2QVL/TYqbMBhh6JVx96tW3eZvXsPNhvKFMgnhs4FAAC5ROCRb4tG&#10;GFP7dOy+5r7QDN9nlHkdeTdtqjM1NdsINhAJDJ0LAAByicAj3zRXh0ayUsfxsj7mvfc+8IKN9evf&#10;aDaKEFBI6tcxfPjFdgkAACB7BB4FojSqtWtfbTFBWzxKeTn33C7e/XPO6WxOO+0Uu66zXdfFWwYA&#10;AACiisAjz9RJfM2aV83rr79p18Snydq+/OW+jcEFAAAAUMwIPPJo2bJNpqbmNbvUklotBgw43wwZ&#10;0td07tzRrgUAAACKnws8mMcjDwYMiB/UadSgESMuNXPnftOMGjWAoAMAAAAli8AjD5Q2pXkRnLKy&#10;s8y4cVeYe+8dayory+mnAQAAgJJHqlWe1NbuNr/61TZTUfEFc8EF59q1AAAAQGmjjwcAAACA0NHH&#10;AwAAAEDeEHgAAAAACB2BBwAAAIDQEXgAAAAACB2BBwAAAIDQEXgAAAAACB2BBwAAAIDQEXgAAAAA&#10;CB2BBwAAAIDQEXgAAAAACB2BBwAAAIDQEXgAAAAACB2BBwAAAIDQRTLwOHbsmJk6darp16+fWbt2&#10;rV3bxP+4u91yyy320Zja2tpmj7vbwIEDzbvvvmu3AgAAAJAPkQs8FDD079/fbNiwwa5paeHChaZd&#10;u3Zm69at3q26utqsW7euRfDRvn17s3jx4sbtdNu4caPp1KmT3QIAAABAPkQq8NizZ4/XkjFx4kQv&#10;mEhE28yfP98uGVNeXm7GjBljNm/eTGsGAAAAEEGRCjy6detmnn/+eTNp0iS7JnU9evSw9wAAAABE&#10;Tcl0Lt+1a5e9BwAAACBqTqqrqzuhO7179/ZWRIX6elRVVZm5c+eaiooKuzY+pWiNHTvWjB49urG1&#10;xP29n/p8KIWrb9++dk046uvr7T0AAAAgv6JWr3d146Jv8dAIV+rvcfToUTNq1Ci7Ntbvw9+pXLdr&#10;rrnGjB8/Pu5IWQAAAADCU/QtHgsWLDBPPfVUSi0ZR44cMSNHjjR9+vRp1jkdAAAAQDhKosVj5cqV&#10;ZunSpWbWrFkppU9pCN5evXqZvXv3msOHD9u1AAAAAMJWtIGHgo7Zs2d7Q++21gfEOX78uNmxY4cp&#10;KyszHTp0sGsBAAAAhK0oAw+lYbmgI97Qu25mc39fDq2bMWOGOXjwoJk5c6ZdGwtgNKM5/T4AAACA&#10;8ESqj4cbnerQoUN2TRP1y1A/Do1MNW3atIQzmw8ePNjrvxFvVCv3HP7WDtdyksroWQAAAADS4/p4&#10;RLZzOQAAAIDiVzLD6QIAAACIPgIPAAAAAKEj8AAAAAAQOgIPAAAAAKEj8AAAAAAQOgIPAAAAAKEj&#10;8AAAAAAQOgIPAAAAAKEj8AAAAAAQOgIPAAAAAKEj8AAAAAAQOgIPAAAAAKEj8AAAAAAQOgIPAAAA&#10;AKEj8AAAAAAQOgIPAAAAAKEj8AAAAAAQOgIPAAAAAKEj8AAAAAAQOgIPAAAAAKEj8AAAAAAQOgIP&#10;AAAAAKEj8AAAAAAQOgIPAAAAAKEj8AAAAAAQOgIPAAAAAKEj8AAAAAAQOgIPAAAAAKEj8AAAAAAQ&#10;OgIPAAAAAKEj8AAAAAAQOgIPAAAAAKEj8AAAAAAQOgIPAAAAAKEj8AAAAAAQOgIPAAAAAKEr6cDj&#10;yJEjZtiwYaZfv36Nt7Vr19pHAQAAAORLyQYee/bsMZWVlWb48OFm69at3u2OO+4wM2fOJPgAAAAA&#10;8qxkA49ly5aZbt26mXHjxtk1xgwdOtQMGjTIPPbYY+bw4cN2LQAAAICwlWTgoRSrmpoaL8jo0KGD&#10;XWtM+/btzeDBg83OnTu9GwAAAID8KMnAY//+/eb999833bt3t2uanHfeeebYsWNeKhYAAACA/CjJ&#10;wGPfvn3m0KFDdgkAAABAoZ1UV1d3Qnd69+7trSgFtbW1pqqqysydO9dUVFTYtTHJHsuV+vp6ew8A&#10;AADIr6jV613duCRbPM4++2zTsWNHu5RfBB0AAAAopKjWR0uyxUP9N8aOHWtGjx5tJk2aZNfGrFy5&#10;0sybN89UV1ebvn372rW5477o1soz1e2kkM8ppfaZ2vJzSql9prb8nFJqn6ktP6eU2mdqy88ppfaZ&#10;2vJzSil+pnxx76kkWzy6du1qysvLzYYNG5oNm6tO5evWrTM9e/b0bgAAAADyoyQDDw2bq/k7tm/f&#10;bpYsWWLXGrN69WqzadMmM2PGjMZhdtUCwozmAAAAQLhKMvAQtXgoneqRRx7xAgvdwkyxAgAAAJBY&#10;yQYeouBj69atjbfNmze3CDquuuoq77GwRrgCAAAAUOKBBwAAAIBoKMlRrQAAAABEQ0mPagUAAAAg&#10;Wgg8AAAAAISOwAMAAABA6Ag8AAAAAISOwAMAAABA6Ag8AAAAAISOwAMAAABA6Ag8AAAAAISOwAMA&#10;AABA6Ag8AAAAAISOwAMAAABA6Ag8AAAAAISOwAMAAKSstrbW9OvXzzz88MN2DfwoHyCxNh94LFiw&#10;wPTv399s27bNrim8PXv2mEmTJpmBAwead999165tosevvPJK78AWvCX6m0wdO3bMTJ061XvuW265&#10;xa6NlkKUl/85R48e3epzHDlyxHuP2bxmrrRWXo6++5/85CfNyu4b3/iGWbt2rd0iM3reTZs2mbFj&#10;xzY+r27f+ta3zLp16+xWhZHvsinm/chJVmb+40eiW7rHX3+Z+W8q/3/91381v//97+2WhZfvsklV&#10;Ic97qfzG9u7da+69995m33NYx4dE+5NuUaobpFNu/s/wgx/8wBw+fNhukR4933e+853G59JvbPXq&#10;1fbR6EulzCTX5eb4f+NRqD/t3r272fep/Xvx4sUJP2e885x+h9keY2nxiJiVK1eaq666yrz88st2&#10;TWIXXXSRGTFiRLPb1VdfbU477TS7RfZ00N2wYYN3f/PmzUl/vIUQhfLauXOnWbZsmV2Kb82aNSm9&#10;x7ClWl6q4Kpsfv7zn5tBgwaZBx54wNx3333mc5/7XFYHHT3vt7/9bXPDDTd45VZRUeF9DzoAvvLK&#10;K97BWbdMDvh67mHDhnkBTSZ/X+iyKab9yEmlzL70pS+1+N25W8eOHU379u1Nt27d7Nap6969e7Pn&#10;OnDggPmv//ovc80110TiSnMhyyaqUikT/b6qqqrM8uXLG39fM2bMMDt27PCODdle+EgkuD+5WxTK&#10;P91y+8d//Eev3PRbeOaZZ7z16R4T1Wpz7bXXeud9d5zWb+zOO+/My+8rn8fzXJabX5TqTyoPBY5b&#10;t271vs/hw4c3Bha333673aqJHps2bZoXmHTu3Nn7/t15esyYMdkF5HV1dSd0a6saKgwnvvjFL554&#10;7bXX7JrCOHr06ImbbrrpxMUXX3zipz/9qXe/4aR04q9//avdoslbb711YvDgwScaKiF2TXhc+dx1&#10;113ee8vHa6ai0OXlnrOhEn1i6NChJxp+iCc+/PBD+2hzDQcub5sbb7wx6fsMUzrl5bbN9e/C/x5m&#10;zZrVorzefvvtxscfeughuzZ1rpyTfRfxFLJsim0/ctIps0R++9vfen9/88032zWpcWUW7+9eeukl&#10;7zE9b6GOVYUsm1Rle95z7y/V32k6ZfL000/H/f6Sfe/ZCON50y2fRNIpN32n8crNrU/3vSTaR/T9&#10;ZPu5UpGP47nkutz8XBlGof6k703l4S9Lt+8n+p71noO/ixdffDHu+lS4eIMWj4h45513zBtvvOFF&#10;l2rKigJdCaipqfGaKRX56wrcc889Zx8trKiUV4cOHczEiRPN9u3bzQsvvGDXNve73/3Oa8r9yle+&#10;YtfkXzrlpW11tWvChAmmb9++dm323NWfPn36mO9///te2fmVlZV5VzS1nz322GN5uzoUhbIplv3I&#10;ycXv7/nnn/eu6I8fP96uyd4ll1zipRHJ7NmzC3KFMaplU0jplMmuXbtKrqUnU6mWmztX69h6xRVX&#10;2LUxo0aN8o6pajFKla52/+lPf4r7PagVQelLUZXOvpbrcvOLWv1J39v111/f7LzbtWtXU15e7n3f&#10;SktztKy0xnjHIB1j1RKZTQsOgUccKvRgDrqamJRa4ec6kKnpV9u7PLh427ZGP249Ty4rM9nyV3Tc&#10;DppoZ/OXhZ/KUjmOwRxLl3vpytd/SyUXMkrlpfec6KCiz79kyRLvx37ppZfatc1lsr+pedRt55py&#10;k0mnvNQU++GHH3ppILmkypRcd911LYIOR+/z61//ute8/dJLL9m1sTLy5+Dqc/tzcFXZ1PvV/qrK&#10;u/Y3bZfrfSmsshG937D3I5WT1gd/p+L2r1TSKLL9/en3r1SGnj17erdc0nvSiTHePpRqvnJr+1sy&#10;US6bZNI9hqcjnTLp0aOH95q//vWv7ZoY/fYOHTpkevXqZdfkXzr7kOP/TaazH0mq5bZ//37z/vvv&#10;26XmunTpYv7u7/7OOzam+rpO8DeUSKrlon1MZaCLUMFjVSGO52GVm6Rbf0qlXCSbekAiwQDz+PHj&#10;XsAV7xikbT/5yU9637k/WEkHgUcc6jylHPTTTz/d3H333V7+9he+8AVz//33xz0pP/LII972OiAq&#10;b059BhJtm0v6UevgrFt9fb1dmzuqKLqKjna2wYMHez+A1vLQW6MfjqLvv/3tb175Kn9XFS69hjo+&#10;TZkyxW6ZW2GVV7KDiq6+6POqst2pUye7trl097eZM2d6lUnlaeqgk2vuiuNbb72VVke0ZHSQSnQF&#10;LUgVD1FHONGVI/WpeOqpp7yDoHJNVT6qnKkyLspFVrlpP9I2Kkfl6uZ6XwqjbJx87EfuKl684MZd&#10;ZQ8jqArSMUSVyGRBaKb0GXSsErcPaf9TvrJ+N8F+A8F85VT2tzCFWTbFYOjQod53pPOqBgvQsfrJ&#10;J5/0WrD0vY4bN85umV/p7EOOqxvoN6n9SHUD7UfxcurD0q5dO69uot+CLpqkQr8hV8463yQLljIp&#10;Fx2b/OWiY5K/XPJ1PE8mk3Lzy6T+1Fq5+OWiHuACDL0//3nZBWTKQoh3DHIXBwg8cuiLX/yi92X/&#10;7Gc/M//wD/9gLr/8cvPggw96X4KiyuAPUJUQVTq0vTpeaWfQDhNv21z693//d3PjjTd6t29+85te&#10;5UevnQuumVDP6So6lZWVCcsgHe4HuWjRIq981eFJ71sHZb3upz/9abtlboVVXu4gHe+gouXWrpCn&#10;u7/p9aqrq83cuXO9Kx462OeKCxD0mjrYffSjH21WidXrZXLSTHSAS8WaNWu8K0dKRVIFRAdcVaSf&#10;ffZZc/HFF3vbqKxUjrpCpdfQFTKVeS73pbDKxsnHfpQouHG/d53kdQuTey13Ug7DeeedZ+/FKChT&#10;GcyaNcurRKkc/ccdHb+dVPa3sOSjbKJOvwO1NinFQ4MF6Fg9f/587/vQ//EqQrmgCqaOqf6bf79I&#10;Zx9y9Flc3UD7kfYt/R43btwYt0KeKfe71gAVuuWCnm/hwoWNlV8dU+ONGpduueg46lKhEpVLPo7n&#10;Eka5SSb1p1TKxU/lkm09wB3r/O8zHwg84tAX/YlPfMIuxSSLfoP53m5n9m+rncpdbXc3nfwzoYqb&#10;Ku9qenY3VeL1I9fVzWBTeSbcDunPJz/11FPNkCFDsvqRusqbRhDR+3Vcs6Yqp1Js5fWZz3ymxUHF&#10;HXx00EzW7Jvt/ia5LC/RyV0HQJ1IXCX2pz/9qXdwi3dFPiz6XMo11fvR1Xo/lVsqV3qKqWzC3o90&#10;sop35c2lBegz6PPlusz83LElWetNtv74xz/ae037kAKqT33qU+bNN99svB09etT07t3bez8qk1T3&#10;t7DKJx9lE4Zcl4da+F577TVvf/385z/vrXv00UdzcqEoEf1GVqxY0ez2y1/+stl+kco+5Bc8Vusc&#10;qgDKlVeuys39rvV86k+g45OeS33ldA7X8SQTAwYM8FpHXVaCAkG1YrhzZljl0pqol1um9ad0yiXb&#10;eoBaK1T/0bFOQU4+EXgkoC9wy5Yt3hejiPKee+7xUh0ypWjVXW13N+Ur5qoC5+9UqR9N8IeeDn12&#10;d/JVxcW/E5988slxfwSp0g9d+YHBCrWr+KiSJMVUXuIOKv7OwfEOPolku7+FUV7Blgn33amsUsn7&#10;9XMVYH3OVJtnFZy6lpJgoJqOqJeNXz72o3hX3oJpVmH9/hREKf0kXsU+DP59SCd7XT1XCoO76cqs&#10;f7jNVPe3MMon32WTS7ksD+2vSsVVqsfSpUu9lmq1NqkSrP1azxsGVUD9F6d0U6Cj7yOdfag1/ta4&#10;XJabykwtFAoCdAVcz6UhVBUoqKUu02Oojgv6jApA9N50jHEDN4RVLq2JcrmpfHJZfwqjXHSsUR9b&#10;1cEeeuihvF/kIPCIQwc+neSVT6gDj7v6obzbTKkFJHhQU/NZLr/ws88+27sqkS2XT65Kia50+Hdi&#10;XREQf6UlXeqApr9V+eqK0n/+5396nRf9FZ9iKi/Hnz/vDj7xRssIysX+lqvychVovf9M8zfjSfV5&#10;Xblp+3RTshKJetkEhb0fBa+8xWtRCev35y4whNm0n2gfUhk+/vjjjeXivyllQRWFVIVRPvkom7Dk&#10;qjy0LypdUd+FKoMutUaBstKv1CKn51UFqxByuQ9JrvcjBWf67bvn0rlVrWc6XqkM031/fvo9aZJT&#10;VciDF1hyXS6tiXK5hV1/SiaVctHxUe9LxxqlxwVbTaS1jvXZjjxH4BGgL0UdCBUJ6ktxX56aqzLJ&#10;oStG+rz6/PqRuM/vv+nAk2jYT7VkJOPKV1cXzjzzTO8HoDx5XQ3X1a14P4Ji4c+fX79+vXdwcakr&#10;iURxf0vUcUzrUu0gHo/rNB6vY7PjDtraP3Rz4qWcFUJYZeOXj/1Iwb/+Rlfe/KOvhMm9R5VRmMPE&#10;Bvchf7qZLjace+65LW7Bss33/pavsklFa8fwMLlOrfGuMqtsFPgXQib7UCIuDVCfMR/C/H0Xc7m0&#10;JtNy03E30/pTPLksFx1nNBCAzilqEVfH9Hj832vwOOguVGVzrmtzgYcKXidjd1+VBT/XdKgTlq4K&#10;Olr/wQcf2KXo0WdRxztd3WytkpKMnqe1K86qtEi8CqTKzs91PHNc+X72s5/1Omy6H6M6U4XVqTye&#10;XJWXn8rM5c+7eSpaS5mI4v7mmnaDKWi6yqjv0lXo0uVSfLR/xRutSwd5Nf/qO3Ej+rir83ofwQ7X&#10;2l7P5SQ7WOZKWGXjl4/9yPUlUYqVru7pNcLuzJzLMkpEAaGGovTvQ/7yDO5Dosrun//8Z+9+Ovtb&#10;LoVdNq2d9/xaO4aHyV1pjfcbdu87mwpPptLZh/zUL8XfOuPS6fL1GfR7UDZBKi2mfvq7eMPh6jeg&#10;Sqc7XoRZLvk4nieSabllW38Kc3/Re3NBhy5OJQo6JNn36lJ/s2mZPUmzCOqOOgG1Ba7wdVVFX+Sq&#10;Vau8ncvfHKjcf1191/T5+nLUrKQ8U53MtI3+RgWuq2rqkKTOP/4JddxrKNfabdsa/Y3ew4EDB7xl&#10;pSDpx6aToIZW03tVM+dJJ51kvvvd73odt1xFXX+r15HgZ0mX+0za6VQxj0c/hpEjR5qDBw82fj7/&#10;Tq0T5+c+9znvioFSObSsg4e2VQqJ285P0bxGCVKeqF67NYUuL1fBUQ6ov5xc2eiHGSxDV0bB/SLb&#10;/S0VqZaXXs//XeoApCGi3377ba/iomU9T6YtU/6KoZ7Lvb4qFC4fOPj5/H/j9i23fbCMXVlqO1Wu&#10;9f1rJJZkClk2hdiPHOUxK1dbkv3e40mnzBz3/pJdaUuFK7POnTubCy+80K6NvQe3X2moY23j+MtT&#10;5aMBAU455RTzm9/8xhs217/PpbO/xVPIsknE7TPJznv+fTvZMTyTY1E6ZeL2S50Thg0b5lU+9Rt7&#10;+umnvSvFmRz/kkn0GwxKZx9S+UyePNkrN73niy66yLto4fbRMMpN+5Deh45J4vbZbI5L/t+A3ou+&#10;f/G//3TLRfuNo3LRZ1BlPV65hH08l1yWW6b1p3TKJd3fnuMvS32fQXo9f2ur/3t1f+PKRmUXPJ+k&#10;wk1j0OYCD9GPSiPSqABVoDrY+6+2a8d1O6NoB7zjjju8Qlu+fHmrB1/9fbyKQTL+Lzke/xet51Wz&#10;vLuCJTpIT5gwwRsDPRtu52ztBBhvO713rdcVEdGPZ/r06d5QfP5y04ll3rx53oFZJxXRZ9J6/chS&#10;OfkWurySnawSlWGi/SLb/S0V6ZSX6D2p05leX9+J6KSi4V6zbZnSVTANU6rvQydl0Wf+6le/mvD5&#10;9b7nzJnT+B1qe72f4Azo+pwKNPXbllTKqpBlU4j9yHGvrZNyuifYdMvMvZZObnot/3eWLvdcruwd&#10;V1HVfhQc3UvifW86/us4pIqCX6r7WzyFLJtk9DrJznui95zKMTzdY1G6ZRLvmK33kuqFqXS48m8t&#10;8JBU9yGVj9bp+1SqjJ5X22s/CgbFyaRTbpp4TqPr+Y+pqe6z8eg11bKrkazcZ9V3oM7KwfpiOuXi&#10;9ptzzjmnWbnoWBU8H+vzh308z2W5JTpmBwW3S6dcMqkHuHNG8IKvX7yLsG4f8J9TdHy97bbbMtqn&#10;2nTggcJJ9qNJ5wQAIDvuBH3WWWeFWuEFAMmk0twWtJVycYEHncuRV8k6Su3bt8+L8l0rCIDwuM6T&#10;uerjBABAawg8kFeagEv9PDTDu3I13fjWGipRnblUASq2MeyBYqOmdzeKkhvCGgCAsBF4IK+Ux/zE&#10;E094AYhyR9341soN1WgP6gjmci8BhCPRsMUAAISJPh4AAAAAQkMfDwAAAAB5Q+ABAAAAIHSNqVYA&#10;AAAAEJaPnDhxommGHgAAAADIsePHj+/+/8KG8vE2rXvLAAAAAElFTkSuQmCCUEsDBAoAAAAAAAAA&#10;IQCcj6IkXJ4AAFyeAAAUAAAAZHJzL21lZGlhL2ltYWdlMi5wbmeJUE5HDQoaCgAAAA1JSERSAAAC&#10;TQAAAXEIBgAAAG6qnBMAAAABc1JHQgCuzhzpAAAABGdBTUEAALGPC/xhBQAAAAlwSFlzAAAOwwAA&#10;DsMBx2+oZAAAnfFJREFUeF7tnQWYVdX6hz+6uxskpESlFEQkFBsLu7v7eu32etWr1/rb1+7uABEU&#10;BKRUQpDukJRu5r/fdc6a2XM4Z+ZMMjP83ueZZ87Zp/Zee8Vvfd+3vlVsypQp35YoUeIIE0IIIYQQ&#10;cdm5c+eoYtOmTUuJPhdCCCGEEAlwoqlJkyZWpkyZ6CEhhBBCCOHZsmWLzZs3z4pHnwshhBBCiAyQ&#10;aBJCCCGESAKJJiGEEEKIJJBoEkIIIYRIAokmIYQQQogkkGgqJPz00092zz332JIlS6JHzFJSUuyP&#10;P/6wu+++25YtWxY9mj9s3LjRbr/9dhs4cCC5K6JHI8efeuop+/rrr6NHMoZr+Oyzz+z//u//0n1P&#10;Zqxfvz76KD0rVqywE044wTp37pz6d9RRR9nIkSPdb2XEpk2bbMeOHdFn2WfdunV24YUXWpcuXey8&#10;885zzz1z5861M844w7p27Wrff//9Lte8fft2u/XWW+3vv/+OHjF3z0899VT3mZdffjnhOa5atcoG&#10;DBjgfvfKK6903+X5888/rX///nbwwQfbL7/8kloWGzZssKuvvtqV01lnneXKDzivZ555xg488EC7&#10;6qqrbO3ate64EELsyUg0FSK+/fZbGzp0aPSZ2ebNm+21116zmTNnRo/kL0uXLrU33ngjdaAFBmeO&#10;bdu2LXok95k8ebI9//zz6URBRiAoH3nkkQyFJef72GOPOVGTExA0//vf/2zixIlOmHCuzz77bOq5&#10;IkSmT5/uRMkTTzyR7vd4//vvv2+rV6+OHol8H5+ZNWuW+8xbb71l48aNi76axtatW1O/j+8ZM2aM&#10;vfLKK+7zXNt///tfW7x4sROGDz/8sBNYfN+bb75po0ePdt/BvXv66afd+8eOHevOhfNGZL3zzjvu&#10;PUIIsScj0VSIqFatWrpBFisBwqls2bLRI/lL8eLFrWTJkrZ8+fLoEXMCrnbt2lasWLHokdwH8cPg&#10;n4hGjRrZ559/7sQFfwz4K1euzFBcIiAWLVrk/ucEBM+wYcPs8ccfd2LkH//4h02YMMH++usvJ1oQ&#10;UYgzxG+VKlVs1KhR0U+a/fjjj04ghc9h4cKFLjcIlji+F2vTr7/+Gn01Dd73+++/2+uvv+6sahdf&#10;fLH7j5Vrzpw5Nnv2bCeisAAiqigXrIKDBw+2+++/34ksLIfTpk1zdQwrGFYpzvPGG2901xK+z0II&#10;sSci0VSIaNCggRu4SLIFuHAqVaqUpwIlIxBNdevWdWIDGOwZnFu0aOGeFxRatmxpxx9/fDoLTl6B&#10;xadq1arWsWNHK1GihHOXVahQwYk8rEVt27Z1rjDuG25ERApg2fnPf/5jRx55pPuch7Jt1qyZc7mV&#10;L1/e9ttvP2cligUBRP1o166dlS5d2s4880x3PzgffqN79+629957W61atZy7kmNYkTg3vpt7ifuu&#10;Zs2arpwQTieffLI7z6OPPtr9RtiiKIQQeyISTYUIBjQyt2O1AKwL9evXTyeahg8fbscee6wbmN9+&#10;+20nsBgcL7vsMvvwww/t8MMPt0suuSQ1ZobB9l//+pd7P8exyODSwYXD54Hn11xzjXM5xcKAjiUE&#10;iDPiexm8PQsWLLDTTjvNff+1117r3oOlCOsFFo4TTzzR1qxZ496LBeSFF16wm2++2VnQiKMh3oZB&#10;HYsN18L3YcXBkvTggw+6z2UVYoSIOeKcLr30UicGcHshXK644gp3nVjx7rrrLvcejvnyQojwu8T6&#10;UM4IoTDcj1dffdUJnDBcG2XbtGlTK1eunDtGJn7uDeXL95900kl2zjnnpLufiJ377rvPCSnKY8iQ&#10;Ida8efPoq2m0b9/ennvuueizNPhdRBZCFjGFONprr73cfUcQYZmqXr169N0RcM/xe1wLVKxY0erU&#10;qZMwjkwIIfYUJJoKEQimUqVKpQbl4nZhwPODLAPvbbfdlhosTkD21KlT3WNeQwgxcOPe+fTTT92A&#10;+t577zkBAhwnRooBEzHkLRp8BrHAwBkLLiYvKBAfnAsuO8C6givKu8VGjBjhXFDAd+MC4juxdgDi&#10;i/NByPAdxALhvuI8+RznnB1mzJjhgs1xbyJQiNvBZQbjx4+37777zj32cK3EZfnjuK68gOQxxxE7&#10;lDPWoXCgdywIREQIQgkrIVYohAtUrlzZfZbvOuyww5yQC1uZwnC+ffr0cd+DpSgzODd+h/rCOXDt&#10;vp5wDliTKIsw3D/uGfUMgeq3VuJ7+F0vboUQYk9FoqkQweCFpQJxwYDHf6wVHgQA8USffPKJi0Eh&#10;/iW8ig13ECLkiCOOcAMp38H7sELx/8UXX3QiiwEXawRWHdw7/A7ChoE3FtxzDMAM/ASG8x4GakBM&#10;EcPz7rvvuu9nJRkCBlHCZ2655RZnHUEgceyDDz5wLiKukQF60qRJzhrFZx999FG3ghChcf3119tx&#10;xx3nBGI8OG9ex0rEH6vV6tWrZ61atXKiAIsSFi3+szIMl+Lpp5/uLFoItdatW7uyxDLGb3OMeCEs&#10;fAhA3FWIJ0Qc4iKR248y4dr33Xdf9/s5AUHTsGFDJ2wJzM4I7hmir3fv3k7UJgPl//HHH7v7TkyY&#10;EEKIXZFoKmRgAWLgRpDgYvGDMdaYKVOmOPcbgysWC5apI4AY2HmOOwlB06lTp1Q3Gd+DCOB14mVw&#10;/SB+Gjdu7AQGFiFcUDzHvRNLjRo1nCWF9yGuwgMu50agMRaOl156yb788ks3OAPngaDxsKIMQYV7&#10;CnGI8OGcsMDwv2fPns5NlB1rB9Ys0jIQz8N3YOHivHFNIdQQN2EoF9xzWHT4bc6T6/KB0ARYI0ax&#10;2OCKo2ziwfUgrPgeb13KLn379nXWMlIJIIgyAqGHm7Zfv37pXH0ZQXkj8GJjqoQQQqQh0VTIIF4I&#10;IcRKLGJSvCWBgR9BQbCvH6ART1hxfPyKd4Ph0vMCiLgoRBPCAMsUaQ1wGSEq+B5+BzcgVpp4IEJ4&#10;7/z58913Ieo8WLJYBo8Vh2X4uPk8WKS8+wew+iC6fFA5IA6JHfLnhpWFa8kMv3qO1WaILj5PgDQg&#10;LjmXU045xa1IQyDFg+vxn+W3f/jhByc0sUbhHr333nudkOF3vBAMQ7k98MADzuVGIHpuQYwTZcD5&#10;+XxUCE3vSsVqRnoBYsGStW5RBsRvETzeoUOH6FEhhBCxSDQVMkgvgPjAioEFJbetAgRgY33ie3Er&#10;MQgjZsJiKAyWDEQYliLcV+G4JwZjrCPHHHOMc695K1I8unXr5sQF4iSeCAFES0bxQ7EQjH3RRRfZ&#10;b7/95qxDgAWJ+CQEz7///W+7/PLLU2OwMgKrmxelxIYRJM15EpQemwKA44gqROrZZ5+des1Yuihb&#10;f32IL8RsMr/v4f4jVOOBW47EmG3atHHuSeD+4LLFhYhgBM4B0co95lweeughJ7opK84FK6CPawLe&#10;w/Un6+oTQoiiikRTIYOYHgY0rDDEn3gY7BjUWEruB2UsPwyGsSu5wrDqCneVz2lErA5xRUBsEd/H&#10;gBm7wsrDoMzKLFacESwcjnvCaoQYYiA/5JBDEg72wHdgkcK15N1lfJbn/tx4jKUnKyD2cO3hTkME&#10;YKXDmnLHHXc4SxLlGQ9cleQoCpcLrk/A8oQYxJ3FPQjnzgJ+C3GH9cYLIsoJixzvpTwBMcrrGQnf&#10;b775xq0m9EHbWJSwYrGSEtcf54a7jnInGSWi6qabbkr9Ti9qqS+IKuoGQpg6wXsQqdwnrGL+XBFN&#10;/B6/A4hVBHFG908IIfYEJJoKGQyKuOgQEOEBn8GRHEBsa4JYYtBjEMVFE3aDhSEmB+sJq8F4P4Li&#10;ggsucJYZwJpClmj++2Xy8fDiClESm2iTwRp3EmKBAHUv6OJBPBWCggBwrCMM7sTm8BlchMRo4ZYC&#10;RAmxVJmBlQc3FqKH6wPECtYWLGFYnbxI43e8FYb4JcQk5UJ5nnvuuU4Y4tJ78sknnQChbGPLBevR&#10;Rx995ALMcY+G4fqIO0PocP6IHixXGUG8FNeO+5Jy5HwRfbFCmDg0XKsE14eFK/AbWNq4R1wXQoxj&#10;WBWpI1iYwpZEXLfcU1JUcJ5+MQFCTQgh9mQkmgoZWAOIL0IwxKYAIMAbIUDuowMOOMAJK2JgEsHg&#10;SLAwLibeT6A4AsJbsHxcEwImkfACLBm8j8/5lXPgk3EeeuihLlEiAzvnl0g44b466KCD3ADPAM05&#10;kZ8Jyw6fR4RwnD+sQCz3TwYEAIKF1XcIHYQi7isCtBFEnCOuK0QkK/IIfGflGW4rzoHEmFwX30MM&#10;EavMevToYb169XLv9fFSgDDDdUpeK97LH9+B+EN8YtkjRxXfz3lgTcsIXG2UPyIMixmpF1j9GAsC&#10;E3GFO9D/LvFgrIZEEHFvEMTEryGweZ3r5nUsgf4zlDXB+1jhOGfOk7QRXAP3Rwgh9mQkmgoZ3t3C&#10;ABwbY8KgT+JFXsf1gpuGwT0RfBeJJ338C4MrA6j/XixZBFUj0hLFIgGCgs8wwIdhsGc7D4QeooXg&#10;ZMSej5WJhfcxOCP2cEORVNKLCoQJ14OFBYsaqRawCnm3VUZQFohDhBa/j6DBIkYZXnfdde53EYuI&#10;EsqEuCfir7w4wXWIBYfyQFRg8eIzlDdbj4SvGyGEFSoRXBOxW5Qnv40QywjOnd+g/PjM+eef7+Kx&#10;YuF3E1neuD/8lreM4e6jjmAVS3QvcIMiVLlOxBdpG4QQYk+n2LRp01IYgDKyJIg9E2JZ7rzzThcs&#10;nWj1nBBCCFHUYYJJaIcsTSIhxDOF3XVCCCHEnoxEk4gLSR9JpEhQMS4aIYQQYk9HoknEhSBwYn6I&#10;3xFCCCGEYpqEEEIIITJEMU1CCCGEEFlAokkIIYQQIgkkmoQQQgghkkCiSQghhBAiCSSahBBCCCGS&#10;QKJJCCGEECIJJJqEEEIIIZJAokkIIYQQIgkkmoQQQgghkkCiSQghhBAiCSSahBBCCCGSQKJJCCGE&#10;ECIJJJqEEEIIIZJAokkIIYQQIgkkmoQQQgghkkCiSQghhBAiCSSahBBCCCGSQKJJCCGEECIJJJqE&#10;EEIIIZJAokkIIYQQIgkkmoQQQgghkkCiSQghhBAiCSSahBBCCCGSQKJJCCGEECIJJJqEEEIIIZJA&#10;okkIIYQQIgkkmoQQQgghkkCiSQghhBAiCSSahBBCCCGSQKJJCCGEECIJJJqEEEIIIZJAokkIIYQQ&#10;IgkkmoQQQgghkkCiSQghhBAiCSSahBBCCCGSQKJJCCGEECIJJJqEEEIIIZJAokkIIYQQIgkkmoQQ&#10;QgghkkCiSQghhBAiCSSahBBCCCGSQKJJCCGEECIJMhVNGzdutD59+ljnzp1T/x577DH32o4dO+zc&#10;c891x2644Qb3XiGEEEKIokimoql8+fI2ZMgQGzdunI0dO9Yuu+wyq1u3rqWkpNgrr7xiRxxxhI0a&#10;NcpKlSplP//8c/RTQgghhBBFiyy557Zv326//vqrdezY0bZt22azZs2yHj16OMF02GGHudewPgkh&#10;hBBCFDWyJJq2bt1q69evtxo1atiWLVts06ZNVrlyZfdakyZNbNmyZe51IYQQQoiiRpZE0+TJk504&#10;qlKliq1bt87Kli3rrEzAMaxPCCkhhBBCiKJGsWnTpqUghMqUKRM9FB9imN588033/5xzzrHp06fb&#10;c889Zw8++KCLe8LKdP/999vtt9/uYp6SBZff7Nmzo8+EEEIIIXIfjDzNmjWLPssaeNfmzZuXvKWJ&#10;lXG///67HXDAAVasWLHoUSGEEEKIPYOkLU0zZ8602267zV5//XUrV66cLV682J588km7++67c2Rp&#10;EkIIIYQoyGTZ0rRkyRLbe++9nWDyrF271sUxwZo1a5zpK/y6EEIIIURRIWnRNGbMGGvatGn0mVnV&#10;qlVt586dTjgBCqx27dpWsWJF91wIIYQQoiiRlGgi99KiRYtsv/32ix4xt3Jur732smHDhjlr0w8/&#10;/GB9+/a1ESNG2I033qhVdEIIIYQoUiQlmrAiEQher1696JHgg8WL2/nnn2/vvPOOdevWzcVE7bvv&#10;vtFXhRBCCCGKFkkHggshhBBC7IlkORBcCCGEEGJPRqJJCCGEECIJJJqEEEIIIZJAokkIIYQQIgkk&#10;moQQIg/YsWOnDRs21b799jfbsmV79KgQojAj0SSEEHnA2rUbbdCgCfb99xNt+fI10aNCiMKMRJMQ&#10;QuQBW7fusDVrNtqGDVts1ar10aNCiMKMRJMQQuQBbDO1dWvELbdp01b3XwhRuJFoEkKIPCAslDZv&#10;jmxsLoQo3Eg0CSFEHoB7ziNLkxBFA4kmIYTIAzZvThNKEk1CFA0kmoQQIg8IC6WNG7dEHwkhCjMS&#10;TUIIkQf4IHCQpUmIooFEkxBC5AHh4G+JJiGKBhJNQgiRB6SPadLqOSGKAhJNQgiRB4Tdc2EBJYQo&#10;vEg0CSFEHhC2LrEPnXI1CVH4kWgSQog8IBzHhGjaulWiSYjCjkSTEELkAdu2pbnnIqIp7bkQonAi&#10;0SSEEHlA2NK0c2eKbdki0SREYUeiSQghchmsTFiXPLI0CVE0kGgSQohcZvv2nbuIpi1bFNMkRGFH&#10;okkIIXKZbdt2pBNNO3fK0iREUUCiSQghchm554Qomkg0CSFELhPrniMQHOuTEKJwI9EkhBC5TKx7&#10;jsdKbilE4UeiSQghcplY9xxoKxUhCj8STUIIkcsgmAj+DoOlKSUl+kQIUShJJ5qeeOIJ69y5s/s7&#10;4IADbNKkSe74jz/+aD179nTHvvjiC3cszNSpU1M/16VLF3vyySd36TCEEGJPAfcccU1Qtmxp9z9i&#10;aZJqEqIwk040FStWzB577DEbN26cjR492vbZZ59gxrTDhg8fbh9++KG99dZb9sorr9iyZcuin0jj&#10;mGOOsZEjR9rYsWPt2muvteLFZcQSQuyZsFLOu+eqV6/g/oczhAshCieZKpsSJUrYnXfeaXXq1LGm&#10;TZta/fr1beXKldFXhRBCxIJg8qKpWrWK7v+GDVvknhOikJMlcxDWoxo1akSfCSGEiIcPBC9RorhV&#10;rlzOHdPqOSEKP1kSTcQpycokhBAZ411xZcuWsnLlwjFNQojCTLFp06alNGnSxMqUKeMCwYlbgn79&#10;+tldd90VNPqy7jksXbrU7rnnHnvooYesatWq0aORQPCzzz7bPa5cubK9++67zp2XDNu3b7fZs2dH&#10;nwkhROFn3LgF9tNPs6xKlXLWpk0d++WXue7xBRd0teLFi0XfJYTIT0qVKmXNmjWLPssaW7ZssXnz&#10;5qW3NF133XUuCHzMmDG2evVqGzRoUPQVs5SUFBs4cKA1b97cKlWqFD0aoU2bNu5z/F111VX2yCOP&#10;BDOtTdFXhRBiz8JvmVKiRLFg4lnCPd6yRduoCFHYSWdpCvPZZ5/ZrFmz7MYbb3TPFy1aZLfeeqs9&#10;/PDDVq9ePXcsHogtxNfjjz9u1atXjx4VQog9h/ffH2lDhkwOZrW1rUeP1vbmm8Pc8WefvcjFOQkh&#10;ChdxLU1hqlWrZhs3bnQpB2Dw4MHWoUOHDAUTlCxZ0rn0+AEhhNgT8ZYmYpr4K1kyYm1SXJMQhZuE&#10;ogmLUfny5V3KAWKOSHB53HHHRV9NDDFKmzdv3sVyJYQQewp+pVypUiWtdOmSgWiKdLWbNmkFnRCF&#10;mVTRhNjBpbZu3Trbtm2bS2ZJMDixTJ9++qn16tXLWrZsGX23uUSWuOE2bNhgb7/9tk2fPt2996OP&#10;PrKOHTumCxQXQog9CW9RwsqEcPIuOSW4FKJwkyqacKuREbx3797WvXt369u3r7Vv3962bt3qAsOf&#10;fvrp1K1SyBru4TOIpDPOOMNtoTJ06FC78sorlRFcCLHHEnbPYWmSaBKiaJAwEFwIIUT2eOCBT2zB&#10;ghV26KH72AEHtLRnnx1kq1evt8suO8z23z97S56FELuPTAPBhRBCZI8091zpaCB4pKtVVnAhCjcS&#10;TUIIkcvEuuf86jm554Qo3Eg0CSFELoM4KlaM1XMl0gWCy9IkROFGokkIIXIR75pjMUzp0hHXnN86&#10;RZYmIQo3Ek1CCJGLbNu2w6VfwbpUpkzJ4I+0AxH33Pr1m91/IUThRKJJCCFyEW9pIh2Ld8sREA7b&#10;tm23HTt2usdCiMKHRJMQQuQiZP1OSYls1ouVCcqVi/zfunWHRJMQhRiJJiGEyEVwz5mlRGOaSrpj&#10;sjQJUTSQaBJCiFyEFXJYmnDP+fxM5cpFRBOpCLZvl2gSorAi0SSEELnIli2RtAK457ylqUKFsu4/&#10;VihZmoQovEg0CSFELoI1idVz6d1zkZgmueeEKNxINAkhRC7iE1iSm8lnAg+753anaPrrrzX2v/8N&#10;sXnzlkePCCGygkSTEELkIqQcIKYJSxN5msCvntvd7rkxY2ba2LEz7ccfp9jOncFJCiGyhESTEELk&#10;IqQVYPVcJKbJpxyIWJqwQm3fzuv5Dy7DRYtWucfLl69Njb0SQiSPRJMQQuQiW7ZELE0lSpRI3T4l&#10;LRB897nntmzZbhs3bok+3ibRJEQ2kGgSQohcYufOnU6cgLcuAZnBCQrHJba7xAq/6+Ot2ANPmwcL&#10;kXUkmoQQIpcINFOq+y0smrA4+ZV0fpuV/Gbjxq0hS9N2iSYhsoFEkxBC5BJYmlghB36TXvCWJsDK&#10;szsIW5rknhMie0g0CSFELhFxv+3qngvnbFq/PmLtyW8QTF6wIZiwPAkhsoZEkxBC5BJYmrx7zu83&#10;B1ia/PPd5Z5bv35TupV7a9dujD4SQiSLRJMQQuQSWJq8e6506Vj3XOT57oolWrVqffRRhDVrJJqE&#10;yCoSTUIIkUuERVN6S1NazqbdFdO0du2m6KMIf/+9IfpICJEsEk1CCJFLIJrIxQS7xjTtXkvTihXr&#10;oo8iyNIkRNaRaBJCiFwivHou1j1XpkzE0rR+/Wb3P7+JjWGKtTwJITJHokkIIXKJxO45AsF3n3uO&#10;84q1LPGcvfCEEMkj0SSEELlExD23a3JL8CKKFWzbt+fvVipYt9gTjySbtWpVdiKO7Vx2l9VLiMKK&#10;RJMQQuQS3j2HOClZMs09B1iaihUzJ1a2bs3fuCbEEb9LbFWDBtXd+fFcaQeEyBpJiaYff/zRevbs&#10;aZ07d7b//Oc/QWPb4TqHhx9+2B3j78ADD7QZM2ZEPyGEEHsePgdTqVIlnTUnTMTSFBEr3oWXX7BS&#10;jn6bVXx161Z154ZVbHcl2hSisJKpaKKhTZo0yT7//HP76aefbNCgQTZ9+nT3GrOWZ555xsaNG2e/&#10;/PKLtWzZ0h0XQog9EVxgwBYqJUum7169uw7RlN8r6DZs2OJ+F7HUrFltueeEyCaZiqYSJUrY1Vdf&#10;bdWqVQtmSmWta9euwazl7+irQghRMFi5cp29+OJgmzlzafRI/uODvBFMTCrD+EDw3WFpYqUcv8s5&#10;YWniP8/lnhMia2QqmoQQojAwfvyc4G+2fffdBOd62h140YR7LtbSFI5pys9VaykpKU4cUSZYwBBN&#10;pEPgOJYm/gshkiNLomn27Nm2ePFia9OmTfSIEEIkx7p1m+z557+333+fEz2SezDwz5+/3D1es2aD&#10;bdy4e2J1fGJLxEn8mCafliD/3HM7dqSlG6hWraL7X7lyefcf0bS7BKYQhZGkRJMPBD/77LPtkksu&#10;sapVq7rjBINfeeWVLhD8nnvuCTqC3bM9gBCi4DNx4nybMGGuffDBKFuyZHX0aO4Q2bU/IpQIxt6w&#10;YffE6mzaFBFDhDXEuufKlcM95wPB89PStNMJVqhevYL7X6VKRDQhpjgfIURyFJs2bVpKkyZNrEyZ&#10;MtFDidmwYYP179/fHnjgAevWrVv0KB3WFrvqqqvs5JNPtn79+kWPJsf27dudBUsIUbQZNmyWjR27&#10;wD1u2bKWHXtsWyuGvyoXYBXYZ59Ntr/+WmcVKpS2445rb/XqVY6+mn+MHDnXRo2aa/XrV3bnUL58&#10;Wq4mgr+fe26kc9H169fa2ratE30lb0Ggvffer7Z8+Qbbf/8G1qdPS/vhhxn2+++LXBkNGLBvuuzl&#10;QhRVSpUqZc2aNYs+yxronHnz5mXNPVehQgW7/PLLbfTo0dEjERBchx56aOqqOiGECIMLaNOmtODn&#10;GTOW29Spy6LPcg7JIr31hnihLVvyN9Da42OVyNEUa2kqXbqk+79zZ8RKn19Q9hs3RixgVaqUdf8R&#10;loBlTO45IZInS5YmGDJkiEsvcPPNNzsTtGfw4MEu9cBNN92U7rgQQuA+e+WVofb773OjR8xq165i&#10;V155uAtMzinz56+wxx//OtVFd/75ve3AA/M/Bcpbbw234cOnWrt2jeySSw5NXTHnue6611yw+Kmn&#10;drc+fdpHj+YtuOBuvfUd54a76KK+1qVLc/v55z/tzTeHuf3w/vWv06xSpXLRdwsh4pEtSxOsWrXK&#10;ypcvv4swWrlypVWsWFGCSYgkIMbklVeG2MSJ86JHijZYgmKDs5ctW2NffDHebSuSUxAiPrEkrFq1&#10;Pvoof0lbPbdrnibwweDhc81rfNwSK/oqVIhMjqtWrWBkBUfM7i6rnBCFkUxF08aNG+3222+39evX&#10;Bw19s3300Ud2wAEHuONPPfWU+0+s06effmqHH364DRs2zG688cag89AO2kIkYtKk+TZ27Cz7/vtJ&#10;e4R7hCS5XjS1alU/VTxMnDjXxoyZ5R7nBIRBuBzJ2bQ78PmXcMXFrp4Dn+CSZJP5BTmagEB0//tl&#10;ypR0VibwK+uEEJmTqWgqV66cVa9e3Xr16uVW0B155JFuyxQSXSKMONa7d2875phjrEWLFtFPCSEy&#10;YunSv90gv2rVunwdQHcXWDr8yrKOHZtZnz7tXBA4MUAfffRL6sCeXVasWBt9FCH2eX7hLUjENMUL&#10;cq9YMWLpwSKVX+mRVqyICEhEkncX8tiLptWrd49VTojCSKaiiYaP5Yh4pTFjxti5557rjhHkSFyT&#10;P37WWWe544ioxx57zIktIcSu4KryS8Djua2KIoij8LL3I4/saHXqVHHPSQ/w4YejUq002WH16vTW&#10;ktWrN0Qf5R/kaOJ+grfoxJLmnsu/PE0+6zfnVL58RLTx2Aso9qUTQiRHlgPBhRA5gziSl18eYhMm&#10;zLOKFcvaFVf0s+bN60ZfLZoQqP2vf33i4mhuuqm/7bVXHZsyZaH9738/OEsb8T9nn93TDjywVfQT&#10;WeP//u875/L0IAgeffQcF1uUX2BlIhh97tzldswxnezYYztFX0mD+z5mzExr27ahXXPNkXGtUdlh&#10;x45ttnLJbPt7+UJbtWyue7x5Y8TahlUT4YRQatCghrsHKVbSZi3YaSvXlLPO3Q+0Aacfa8UziUdd&#10;vmimbdqw2pbMm2yb1v/tfiMRi2b9lnym8aAMGjbf3yrXqGdVazS0ek33sRr19rJyFSKiWuQff69Y&#10;YGtWLLZli6bZ2pVLgucLrWz5ytak9QHWrG0Pq1C5evSdex4+EFyiSYh8hizMzzwz0GbP/ssN7hde&#10;2Mc6dGgSfbVogkB68slvXCDy9dcfY40a1XDHcc19//1E97hp01p2443Hpi7Nzwr33/+RLVy4yrnF&#10;WM7P/7vuGmC1auVfriYsaU888U1wHivthBO62hFH7Bd9JY133vnZfvppihON//xnf9u+dZP9tWCa&#10;rVgyy9auXmLLFyZO27L+72VuEMsLEG/Vajex8pV2HRTXrFxk61b/FX2Wf5QqU87qNNp194mdO3fY&#10;4tkTos+So3L1ela9TlOrWa+5E2Q16gR/wf/MhOLuYt3qpcG9XmR/zZ/q7vvKv+Jn0d+5Y7stnhNp&#10;P3lN8eIlrEbdvax1lyOsUYtOVqvBnrVBv0STELsJ3CGPPvqlLV++1g3uEQtL0e6Afvllhr366lCr&#10;UaOSXXvtkVanTiTNALFMzzzznbPOIKguvfQw23vv+u61ZFm3brM99NCnLnYHMUa5EkN13XVHW4sW&#10;+WfBW7lyvT399Lcu2/kZZ/SwQw5pG33FbMPaFbZ62QIbOnCQzZw20yqVWWuVyq6zzRvWRN8h8puC&#10;KBQLE1UCIdql3/m29359rWTpSP6veGzZtM7++OUr+23Y+7Z+TWSro/ykSo36dt7tH0afZR+JJiF2&#10;EwzuDz74SWoA+IABB9phh3Vwj4sq3377m3322VirX7+6XXXV4U48ebBCPfXUt86dc+SR+9vxx3eJ&#10;vpIciBTcYlh6evRobb/9NtfFiSFGu3XLnrsvWbZu3mBzpo6yWZOG2cyJP1rKzvzbHkWIgkDVGg1s&#10;v56n2D4HHW/Fi6dZiWkbk0d/aeOHvG0b162KHs1/JJqEKOQsXrza7r03rRH367evnXhiVzfzLap4&#10;N1zLlnXtssv6uVguD1ahu+5634nJatUq2L//fUaWymL69CX2/PODXHA1Fp6vv/7VBYIfd1yXQITt&#10;6iLLKVu3bLQF08fazAk/2sxJP9n2bbs/kL9EiVLO3VS9dhOrVqeJc6NgRdmwtYJzBVMe5557iHXv&#10;vretXbXUVv0118b8PML+nDzBypdca6WLrQ4EX+JA/GLFijt3TMUqtaxmgxZWuWo9q1KzgdVp1Nq5&#10;0XJEIJYXzvrd1qxc7FyUuN5WL5vvrHMif6las5FVrdXQajfcOxAbDZxbc+2qJTZnys82f9pYV/cT&#10;wWc79TnDmu9ziP3xyxf2+/CPCsQ9lGgSopAzdeoie+KJr6PPzAU/M6ARoFtUIZHn6NEzbZ99GtvF&#10;Fx8a9Dfp45ZYPTd48CT3mEDxrLjVxo2bba+//qOzVN188/H24ouDXeLM3r3b26mndsuRGN2xfast&#10;mftHMIjPcwP60nlTgr8/ck0ola9YzarXbWZ1GrexytXqWvU6zaxuk7ZWslTu9MfEzWHFI8UB8WKt&#10;WtWLvpLeZXrVVUdY/frVoq8UPRj4EYrEjvF/1dI57vGO7fm3ijErUBeqBOKlXpN2VrFqHRePRXxX&#10;yVLxV2XmB9T5RYG4nTV5mM2dMtLW/Z172yDlJRJNQhRyEA+ICE+bNg3s6quPjJsMsaiA++zPPxdZ&#10;587NXeB7rEDktRdeGOzcaoidU07plrSIHDr0D3v//REu4/VDD51pL7002AlT8kGxnUoygeWbNrAa&#10;bI4tXzTdzY7/WvCnE0ob1q6MviNnVKxc06rWbmzFyjS08ROW28ZtVezuf11tVavnfAuZjJg8eYGL&#10;GSMn2L33nmp166atSJs6daELXCcNAaKpefP82UBYFH5Sdu50k4cRXz9ni+dOcs8zokWHXtax12lu&#10;ZWRhRaJJiN3Ed9/9bp9+Oib6zKxBg+p2220numX3RRFSLCCa5sxZZr16tbPTTz8o+koa5Dh67LEv&#10;g/csd3FP11xzhFWrVjH6amKwLn3++Vj79tvfrVKlsi7NwOuv/2QjR06zli3r2YnHNLK/5o6zaeMH&#10;ueDe3KZkydJWt0k7a9XxMNtWci97853xgfDb6lbucV9jQcS89NIPLj3BvfeeHIiYvLXu+D3mSDdw&#10;772nWJUq5aOvRFIR3H33B06sI5pIgyBEVlkwY7yN+f41Wzjz1+iRCMVLlLRGLTraQUdfbjUbtCz0&#10;4QdeNBXdqa0QBZTY7NeRpI9FdysVYo184srq1eMLIaxE++wTSbuwdOlqmz8/OQsPqYB8YksvsqqW&#10;+9tql/7dbNEz9uWLV9qYQa/mqmBCKDVu2dkOPe1Wu/Cez+ykK//P9ul2nJUqWyWJ5JalgmuNdLs+&#10;Q3pe4uta5crldrFkco7ksSKmjASjQmSHRi072UlXPG0nXPq4NdhrX3dsr3Y97JSrn7fjg2O1GrYq&#10;UvGaEk1C5DM+Q7OHga0ob5pKPI0XTX4bkXiQqwpXGq6kX39Ny0tDLprli2bYjAlDbfSgV+ybN+60&#10;j5+92v198tw1tmb6i9a03ECrtPFje/3BU23uL49YzVITrFSxnO8/V6Z8JWsYzJb3P+Q069H/Gmve&#10;/R9Wp/O9dsR5/7F2XY+xsuXT3F0IJgQIJBJNiBQvXvzmvnmJ30KFwPtY0cRzH5C/OzKoi6JF4727&#10;2oCrnrVr/zvCjr3wYRenVxSRe06IXIZVQKv+mmcrl85yAacETGKdqN2otVWt1di+HjjXZs43K12m&#10;tEvEyBYj99xzstWrVzQDccnB9OyzA93GsFdeebi1b9/QlQvJ+1Yune0Cc1mSTFmQPoBUDFieGjas&#10;YVs3rrbVy9MyfecV5SpUdavPWA1WoXJNq9WglVstVqZcmmUMi+B//vOFrVq13q666khr3Tp9Piky&#10;fZPxGzHyxBPnxY2lYuXk//3fty6nEzmpiLvKS3ym9E6d9rLzzuuV7pwQbbhN581bbocdto8NGNAt&#10;+ooQIhbFNIk9EmJgCPZd//dyW754hq11y5yXumy3rFqqUqOhVa3Z0Oo2beeOJSIlZWcw8M91bh9W&#10;4bBE+u/lC9zjpFdWlaxuW3aUddYJtrcguSMQfEwQssg55SvVsJb79ba99z80mPm2zfCeZsaSJX8H&#10;4vYD95i4LOKzwgwbNsXefvtndx8ffvhMJ/xiwfLz5JNf27Jla1NTAOQl9933sS1atNJ69mxrp53W&#10;PZ21iVizF1743v74Y6EdcEBLu+CC3tFXhBCxSDSJIs2WTeudSwdLBquhlsyd7DL8ZiW2hRwl/MVC&#10;FmfEkSiYlCpX1VZvbmjLNzayY0861voeGomzyCl+Kxg4+OA2dtZZB7vHHlImkDqBJfwEXcfb9w5r&#10;2+OPf+UE2EknHWj9+uVdUlNEEYHeuN7YB4/98MJs377D3njjJ7eak6D5f/zj2Ogr2Qdr4fDhU23V&#10;qg121FH7B+NKZFNgIQo7Ek2FnA1rV7mBe+WSmW4/KiwdGYHroVrNRlajfgur25h8H5H7jcUFYeGt&#10;JYlEBZt/rlg8M/osDWI6mrTuak1bd7Nm7Q5K584Iw4aiC6aPc8kAyZy8ZeOu8Sa4RKrUqGc1g3Os&#10;1WBvl6iPRGsecoSsWbXE1q5a7B4n4q8FU23blvTB1qLwwiqcSLLGxi5fjXtci8dNbM7c5fbww5+7&#10;GCLcXaRvYJuaZ58dFHU7dXAZ13ODYcOm2ttvD3ePmzatbbfeerx77Pnyy/H21VfjrW7dqnbnnSe5&#10;LXJiQcjg4luwYGUgKjraccd1jr6S+6xYsdaVDe5OLGMIvTBYXT/+eLRLOlqnThW7775To69kHyxp&#10;jz76ha1fv8VuvPEYa9asdvQVIQo3Ek2FhEWzJwQCY60tWzTd1q1iE8eFTuCQoj4nEOBKgG1uiosS&#10;JUu7mJBW+x9qTfY+wCpXr2vzA6E0KyqU/K7rWaFEMGCWKV95t6bhzwqsEiETMwN8DTYHrdPM7W3l&#10;gpkXz7Al82fZ1Im/W6mUFVbMim7wd0b4jT+r1g5EfN1mLqEjIqhG3aZWLHht+PA/7d13f3ZuyzPP&#10;7OFcS4nwcURVq1awK6443Jo0qemECTmf/vhjge23XzO7/PLDou/OGZ98MtoGDoxsFMtKPYSRd6mC&#10;T9CJoLrppmPjiiaCxR955HMn6Pr0Iflm9+gruQ+xZE899Y0Lwieh6L777ropNOkv2N6mUqVydvfd&#10;A9Jlas8OpFRg/z047bSDrHfv9C7MZOGchwyZZKT/Id4qnqtTiPxEoikX2LZ1ky1fNNPFn5BxFgtH&#10;ogyzCB1tzrn7YTuIBs33swqVa0SETd3mVjYQZcQoEetEjNOKJbPd44y2DOB7GPCxhCGOqtduGv2+&#10;jHdOJyiXjNUMCrhwEAd//rnYunRpbhdcsGvSx6LABx+Msh9+mGSNG9d0Gbszy0f1119rnBts5cp1&#10;LoP4RRf1sbJl469GQ8QgZrCUkCC0Vi3uZYq98spQJ6hI2MjGvckkuMwM7tv48bPdY8TFNdccGYi0&#10;Wu45YIXCGtW6dQP3WuxqNQ+Wppkzl7p4pnPO6Zlny7EnTJjrBGVQW+3aa4+Km7ySPE7vvPOzs9T9&#10;85/9UzdSzi5ffDHObWMDXbu2cIlMswPuS+oAqRDIYVavXt4mARUiMwqkaCIg99X7T4o+EyL74CZ0&#10;K6Dqt7QKVWq6LQhwUZarkLZEfHcwYsQ0F0cCjz9+nhNNDO7t2zdy1gDy+BQ1sPr8+uvsTMVEmOee&#10;G2S//z7XiZMbbjgmbqJI8EIFQXb99Ue77NZAwstvvvnNfY7fxBKVExC5bEcyY8YS9xzLB4HciF3P&#10;//43xMaOjWwVc/nl/RJe59NPf2eTJ893n2VFWzyLVG5AXXvnneFOMN5554C4ObK8iOdcEZ05yQpO&#10;qgiC3JkEAG7KW289IVt1etq0xfbf/37lHpN4kzIVYnci0VTIYT8d3EBsnlm9Fu6gJm6JdImS6Tuo&#10;rZs32rKF05yli1ig5QunB8+xokTce1VrNXKuEeKIiBfBWlIreEwcSTIQEzX7j+E2789fgr/RtmNH&#10;fJcTlhm+u23Xo61Z24NcPEosBG6zXJ+l+pwjq9FYuk/iR2Kw6jZua9XrNrVK1era2s3VbOnKktb/&#10;hENy7FKIB8uxsWAQIMuMObdgIGdAxx3y4IOnu8e4dIj9uOKKfla5clrG5qICgx+DYFb22EMwIZxg&#10;wIAD7LDDdg3mJpAZofLbb3Pc8v/rrz8m+kpaJuwaNSralVcekVB0JQvB1CzfX7gwknQT41D//mwI&#10;vL97DH55f8Rq2Du4zvii6dVXf7RffpketaL1zTOhTJb0zz8fYxUqlHXby8QLTGdvOiw6CB7Oef/9&#10;s58CYfnytc4dyMpAIKEmZd+0aZo1LlkoH8oJ4q1UFCK/8aIp8ymf2G0Q+9Fgr/3ccukDDr/Ajjrn&#10;fjv12hftqkd+dBsQHnfxo3bQUZdZmy5HuuXysYIJSpctbw1b7G/7HTzAeh53jctefPm/B7kEZPyd&#10;e+t71v+iR6z7UZdY6079XExSsoIJKlatZR0OOtGOvfARu+T+b+yY8/8dnM9RLu8NbgeEWI9jr7Cz&#10;/vmmnX3z29ap9xlxBRMg+lp0OMQO6HeBHXvBQ+791/73Z3eeVz48xJ1775P+YZ37nGU/j9tkI35Z&#10;6AapvGDChHk2cuT0YNAZl5qwMDdYvXq9+8+A4uKfolmsI1mzd7jHRQ2fzDNyze5hpjRqVCPVVTRp&#10;0kI3qMdCQlD2qoPYLVeqVYtYljZvTntPTiCYetOmtO8hEzk5pVgt5vEJPCOuxMQXWq5cpJ3y/tys&#10;W2EoL1bqcZ5MKuIJJqCcsDJxHlxjTsCtGs52z/exVUt2CCfbVOJNUZCQaMoBpUqXs/rNOrgtFLof&#10;fZmdcOkTdsGdn6QKkpz+Xf3oMBtw1TN2xNn32oGHX2gt9+vj9rmKJ44KAqXLVrDm+/S0fqffHgio&#10;r+2ax36OCqUznXjKLRhsSBKIpWH+/BXRo4lh4MAF9u67I5IaQBkImYHz/cRUEFuTW/hBBUsTogkh&#10;AVi22H+tKLJmTeSacZ0lG7+DO61Vq7ru8fLla+IOvgjNdesi23/UrFnJ/fekidGtORYDQL1hTznw&#10;ggyREBY9nA8gUDK6TB+fRVB4WHTlJoim9esj5e7PNx4VK5ZzFjHOY/36nG2lQlukDBBhuAQpG/Yb&#10;pP1llbBQYhWgEAUFBYKLQgcrj/79789cwG+rVvXsxhszzi9D533ffR859wG73ofjUOKBKMOlRIfP&#10;AEgwa07cFmFYAo4gIwj47LN7uhgZfosYGfLkZMeVUZBBbNwcCGcEwhln9LCDD24dfSVz/EosBmDu&#10;wX77pRfeCClcS2Tojl1lx+B9ww2vu3vP7x5ySOIVeMlAADgb7VLnevRo7dx/uNVIYulF0J13vm/L&#10;lq2xo4/u6PIiJRKIfsNm4rDIkJ7TeKt4UIefeOIbmzVraaaJK++664NAAP7tVvOdfHK3bC9G8O7J&#10;hg2rO5cgLllWMxLXlKxY9hA/xupHIM7qhhtYjag5vth9yD0nCi2srCHOCRYtWu3+ZwTbXzDAMoBO&#10;mRLpiDMCtw+WLGCwx6KQW3j3XMTSZG7XeQYprEz5sRdZfoNlDaGB+KxUKWuxZwyWWC0QAH/+uWv+&#10;sPSWpsruv4cyrVIlIkZ8meeEiKsrJZhclrIWLeq68+L3ffwOcJ6AmMpIJPh96UiNQP3KCVjREJZ+&#10;VZ8nbGmKtcLF4i1RWJqya/mibTEZgObN67rJDCxcuMq1p6wS3p+Rz4ddowWNuXOXOcGYmxZpUXCR&#10;aBKFDkSMN/njPsss5oFEgh6/sicjFi2io4+4WhgoiV3BVZdT2GMOYcR4WrVqeTewsnLK5/oJDxRF&#10;BQQr9wqRkShtQCIQF35J/+zZy9z/MAzyiM2IQEofQE/ZVq+e5kbLKVhigBVo/PnFB9QND65A7m2i&#10;+CGP37QYkYXYyAksIsAi9+qrQ+2zz8ZEj0ZczH//HalPsWUTi198EBFN2fClBYRdcyxqaNSoZqqL&#10;zoupZOE8+C4P5erFcUGEvGJY2AYOnJjt8hOFB4kmUahgkPQDmCcsiuLhVzwBlg9EUUbEdvK49RA8&#10;OQVRRKdaokSaUMLl4JfJ42YqajDYITy5zgoVsiaawG+Ku2DBil3EsY91oSxjt+tASPkl9rkRSEym&#10;a0CI4U7zosnXLQZ5xCHxQaVLZxxz6MVjTkUTYgIrB1A/v/tugsvLxLkgzhH+iEcEekZUrhy5Fqxp&#10;2bU00Wao29yL+vWrW+3alVMti1kVTQjtcHvjepgcFUSwFPo6MGPGYpeNXhRtJJpEoQJTfWzHFJ7t&#10;x8KgFBZNDAozZiyNPtuVSHD58uizCLjqvOslJ3gXT1goYWkiGBe8ZaAogfuIa0Yo+mvOClgtcHch&#10;SIgxC+PFEJaSWOsOosnHCuWGey5NNFV07iwfwI8VizoTCeJPiYqmjFefevccqyVzIpq4/vAEgnJm&#10;wQOuIp9PirIrVy7jcvfiMruWJgQO2cf5fdzOJKLEJegtWExqstJ+2IIlLJoQf7mxAjIvoC/yCwQI&#10;ASCmTRRtJJpEoYIZ9MqV6QdBRFEi91lk9Vva+xkUmPkmshxhiVq+PDJAMkNn8OU3c8NakWZ1Ib4n&#10;MuhG3HORQTQ3BveCBoOKF4rhLUeShfxKWHX4jqlTF6Ub1P09ibek3rvn+E/aAawX2YW6gqAAVuUh&#10;inw6BFYGIgzTLE0Rl2tGYInifQgtrEXZBSEXr14imN54Y5h7jFXLi7RE5NQ9R/uIxBmaNWxYw5UP&#10;Cxv8ogaEhC+/ZCAWa/v2NJFF+RfUCQX1m+sHym706BnusSi6SDSJQgWzurS8P5HOHrdWOAYiDLPW&#10;WJGFqyfRzBVr0KpVEdHUvn3jVDcMM+mcwsCN9yMcxxS2OvHbRQmEDoMlYoKBNKsxTVCjRqVA/EQC&#10;mRcvXpXuvnmRScxOvL3JEKaIKayLOSlb3IC4YbhX3nrlt/Vg0OQaI6IJS1MxK1MmY0sT3+PLYuLE&#10;7OcZYysWBmpEEavjwgHf3oLFuWSWPJP6R53kM9kpJ67fW3tbtoykiYC99opkF0c0ZeV7+T4/qSld&#10;OiJAvaWvoMEky4smmDVrmTt/UXSRaBKFCtwRDBSIDh/vgijyJvJY6NT8KqJOnfZy/zGjx7r4PHTw&#10;/rs6dGiSOkhm5AJMFmbL3uoSds95qxMDb264AQsKDMLekpJZMHJGtGvX0P0n2NhbjLAs+uBg6kI8&#10;6w7lSmAy9WXVquxbCrEmIbz4DV8fCHQGBDx1LOKei1iaMnPPcb7slQesCszuPfeLGkhdQHZxUlaE&#10;98IDBFVmblHe44VVdkQTllvuB3FljRun/T4JSikLBOe8eZnnUwMENpMg7hnn1KhR5PsKqhU2dpEI&#10;55mR+18UfnYRTXPmzLH+/fvb1KlT3fONGzdanz59rHPnzql/jz32mHvNw3v9a126dLEnn3zSdTJC&#10;5DY+FQDLydniBNasIa4gvuUIqxIdMANHx47N3ADBc1w98fBBq8R50On7wT6ncU1pVpcUN5CEXVXE&#10;yOBGCruBigIMlj6xpI8Byg4sYUeMUP7e4odQ4XnEDVcx+O8Op4Nypazpi3Iy6LKUHAEYEU2R+sB3&#10;+7pE8s2suOewXrZoEam7LDLAYpRV+JwX/g0aVHOWK1yH7L8XzkNWvnyaIEpE2bIlUwPps+OG9ueP&#10;EAzfZ3I11a9fzT1OPhg8xd1bQKD6FZAF1dLkY5j8dVMnk0lrIgov6UTTihUr7IYbbghm82kVvHz5&#10;8jZkyBAbN26cjR071i677DKrWzfNBOs55phjbOTIke491157bdB5yIglch8vmthTjCR6DAgMXIlW&#10;xJEIE+jQiUOpXTsyw/eujVgwrwOxNAgbv2cZ1irfmWeHiICICKJYqwuDA4M+M9bcyF5dUEhvDYq4&#10;ObMD95rNX2HKlIXuP9+LdYdy89afWLA0IWC4z4ksi8mAKI9YmoqnWgURY74uLVgQSVERcc9lHgiO&#10;0OvYsan7j2snO5YJ8h+RuwhLWvPm9ZxYA4Tcuef2suOO6+Ke77dfM/eejEAweZdiVkUTkxXf9rhH&#10;6UVTmdT7xuQlkQs9DMLT5zuqVauyE4JQULOC+5W7bdo0dBY/YN9E2rsomqRrTV9//bUdeuihdtBB&#10;B0WPpIfgvF9//TVo8B2jR4TIPxiYfLwRAyV/xLxAeIWch8HSb7+BaKIDR2gBq55iO2Jmsz5eivcR&#10;sOtnyrgtGDyzS0RARERXrNWFgZgBlPcU5CR+WSXsnvMJFLMD5eMHXwZohCX3idVnlFsi0YSA8Pu8&#10;4RoNu1GShWvA/ctgzvf5e4cw8jFE1D1vhUwmpgmI9/FWFFa8ZQXEGakGWEmKICLZZhjiuI46an97&#10;4onzXPbyzIiUUyTGytf/ZGHRhJ9M4BoMCzQe465D2HLPYlOFxINr80HflE8kmD+yaragraCjbvg+&#10;hP4Fdz5QHqQfEEWTdKLp3HPPtfPPPz/6bFe2bt0azLjXBwNVjegRIfIPhIufrRKIy0zWiyZvgQpD&#10;h0ZnTafLrJXBxLtF+K5wNmcg0JjvxzrhO3sfI0Kc0+rVWY/38DBge9db7OayDMT8Fu45b5kpCjCo&#10;pLnnsh/TxH1r1SoSv8Z9QzhFgoUj7jksUYmoUSOSKRwxkJ3ZP5/xQiKcdZzAcy+aOCficCKWpszd&#10;cx6sQEA9zSzXWJgdO1Js1qyIN4D6nygPE0LIW6AyImJp8uIystoxWRBCvnzCQeCeiKArFhVNmS/H&#10;57e9tYt2ghuesuZ47IKO3Q2uOeoH9RPR1L59o9R6PmHC/LiWbFH4yZIPbfLkycEg0iSoyBGztBD5&#10;CQOTH4Tr1avmZvt+wMQKFLusHMsR7g8GVm8690HFWK3Yl8vDOIHLY+tWRBMz5MjEAEHjl7zH5m/K&#10;CpHBN76lyWcHR1gVtNl0TuB6vEvSr0LMLnvtVdv95/4vWrTSlSWiDLGZyNIE3pqDGN2xIzuWprTl&#10;7uHVafwuVkisKdQZ6g51CPdcMpYmIHjbB2n/+utsV8eSAbE4b17EjewXQ+QErsHXSdpMVpKsejd3&#10;2JUdBost5UFdSCauifaKddJbEH06CX4jK+eVH2DF5p4hODlXrrVGjUh9mz59seuTRNEjadFE5Zg2&#10;bVowc2gRDFa7Lh3+6quvrHv37i5oPBwTJURuEbE0Rdw9DFh0rGFLUOxMlFkwliNm275DD3fu06dH&#10;EgACgyPxT4xbzBa9VQGrgX9/TlbQ8f1eEMVaXQjijQQsR4LFiwpcC9eEpcC7f7ILq9Vw8dEPsWrM&#10;xygRHxZ2CcXiLZHUnW3bsmNpQjSlWT7CINz5bVxHPq6HupZZRnAPQt5bidjcNtl7j5UJ1yS/7S2n&#10;OaV16wbuP9agrGw744PA2ScwnlWLc/T5mmKTk8bDB3yTagDB5NNJcN9zEpeWF5CbivOibiOoOU9v&#10;PaSvIFhfFD2KBUIoBetRmTKRGQ+r5e644w67+OKLrU2bNu4YbNiwwe6880675JJLggaW2E/+ySef&#10;2IgRI+yBBx4IKlP6GXU8iJOaPTv9ZpOFlYkTFwcD72rr1au5ZXVzUpE5w4fPtjFj5rvg7yuu6O5E&#10;09Kl6+ztt8c769CRR7axVq0iHTTiZ/DgacE9WRJ0vmXs0ku7pR4fNmyWjRu3wM1gL7igq3sd19gb&#10;b4wLOuZNQf2ubUcfHdkVn0H/hx+mu++pVKmMXXTRgUm5PGJZtmydvfnmeHfOp5yyXzArTW+tfe21&#10;sYHo2xB0uvWDiUer4H3RFwoxM2eusM8/nxwI1dI2YMC+wcCS2CKUGdy3r776IxC6y53lomHDqoF4&#10;WOHK8dRT94++a1d4/5df/uHu2XnndQ2ET+Z9UphVqzbaq69G9nTr37+9tWwZsVgCSTNfemmUqzvc&#10;V+oK13juuZEg7GTwdZr6S72oVy/9xsPx+Pnn2TZ69HxXb48/vr3VqZNmAcsua9dudnWQa+nSpZH1&#10;7Jm2Ai8R5EB7+eXRzuLXo8de1rVr4+gr6Rk5cq6NGjXX3YOrrurh2l0iuKeffRapM8cfv49Vr17O&#10;tRvaJd9/8MGRtCG7G+71oEHT7I8/llrt2hXtzDM7uetbtmy9vfvur8G4ttPat69nhx++d/QToiBQ&#10;qlQpa9YsImyzypYtW4LxfV7ylqYlS5bYwoULnXsuI3r37h3MFlbYpk3ZX2lU2Fi3bksgFicGg/QM&#10;10kzINOoRO7CAAbVqzM7j6gKzOF0VnRS5NNJg6XgkZlprVppFgLECJ0cM2BWRCG6AEsVHTPUr58m&#10;aPjumjUruv8MKAwu2YE6Aizv9gn7wlSuHJm0bNhAzFbRqDsbNkSsgljREAU5gfvWuHHEuohlZ86c&#10;SAxQlSoZiyAG38i9TnGuvayCMAAsjuXKpXe7cS/Ztw1B59t7ZivnYmnWrHpq/UVkZgYB53/9FbGo&#10;IuIjbSHncC1efC1cmJylibbDdSOCMhLEtDfvYluyJGPry5o1kfZFfaGdUJ7e3cm9QKAVBCLxh5G6&#10;wT3gHgLt2AvfJUvWBOPgrisGp079KxCGk2L6K1FYSNrSNHz48EBZD7L7778/eiQ+69ats3/84x92&#10;zz33BJUnd0zHBZlhw6YGM9lxqfEqgBvhlltOSDW9i9zhrrs+cC63nj3bBDO7g6NH046Tn+aii/q6&#10;YwwuN974unNjHHnk/sGsNW32j9n80Ue/dOb+Pn3a2cknd7exY2faK68Mdab2yy/vZ3vvnRYr8scf&#10;C+yFFwa7Tv+ii/rYfvs1jb6SPNSTt98e7papX331EanL1T2vvfZjMBuf7gJnb7zx2NROuDDz5Zfj&#10;7auvxgcTrZp2xRWHZxh7lAy4gp57blA6NxarxPzy+njgNnvqqW/dvT733EOse/eszfzZwf6tt4Y5&#10;N99VVx2RuprSQ50Jb51BFnnub7LQbzz77EDnusKNRYJK3DyJII6G62FZfp8+7e3UU7tHX8kZ1O1P&#10;Px0d9PET3WrFm27q74KbE4FQ/Oyz0W6TYPJkcd7eFRoLizSefvpbF5PUv39nO/roxKuvP/roF/v+&#10;+4kuPuj6649xLjraHjFfxCNefPGhOXb15gZcy3//+5XrS447rnNQD9Ou6dtvfwvKZqyLdbrwwj62&#10;774RQwNpS958c7hNmjTfib+uXZvb2WcfkmWhLXYPWbY0jRkzJmjUmQ8WuNs2b96cKsKKKqzwYGPM&#10;d9/9OZ1gAl777bc50WciN0D8+OW9sYLDpxEgGNdDXIaP+2A/rDB07j5X0qJFq12c1OzZkXgLjvsN&#10;TD2s1KNjI77FJ7PLKr6O4FqMNyj6QFwGd+IkigJe3PiYrZxCDJDPk+SJjTOKhYGLBI+Qnf3LVq6M&#10;1DlSF/gVZmH8diqeeFbEjMCNT/JOYDXnzJkZx4MilnyiTuKIcgtE+t57N3D3ibQXM2emxfvFgzYz&#10;f37E2kd7SSSYoFYtNu+N3LeMNu9FuBF7BpH7FhlD0lYpsidd1oP58wKuwa/yq18/fQA8kyosoyw2&#10;YcIFo0fPtAce+MTlcPLWsl9/nesmAqJwkZRoIoh10aJFQWXYL3oEP/VIu+6661ys09tvv23Tp093&#10;nf1HH33k8jhVrZq+MylKsPXBgw9+6mYMNHQPy2N99t0xY2akmxGLnEFgJfWLzjRWNJG5G5j1+Q7Z&#10;520iqWLsknQGCJYHw5w5y53A8kHeWAljRVPVqhXdwMvvk5YgOx23H+ioH/EEhM9jlNU8OQUZP6hg&#10;GcjIepIslJsPKgaeZ+aeo774Xf5j83Ilg9+8uWLFcm4RQSzkj0KYe7K6vx7uRjLVAwsFMhtE/Wo1&#10;fid2y5ScQsoA7hWuwmnTlrj/ieDe+omGz8yfCO59ePPeRG5SViGGE8B6a6tvG5Fg/oIhmugv6Aeo&#10;X7tOsqq5hQuASHruue/t9dd/TG0PHj6PVQ1xJQoP6UTT66+/br169bJhw4bZ2WefbbfccosTTJik&#10;cNvFc7dFGn1HO+OMM9wWKkOHDrUrr7wyqPA5i2EoqLAk9uOPR6cb3Og0+/Xb1+65Z4AzzwOzMM0i&#10;co/I8l4GQQbK9G5Pn4OJGZwXPz7vDQOd73TDNGtW23XKdNRkmfZZiOncw4Mg8D7fCTKIZkc0+frC&#10;7DneknQG5cj57EidbRdmuBd+AIyIpqxZYGDt2rX27bffutCA+fMjG9uGl9gjmjLfV62UC5gG3ERZ&#10;EaUIcG8hpB7Fu2/UrXA6hey4jrAY+TqaWaLLtP3masQVcTkBAdCqVaSPZ2Lo99OLx08/TXHWJups&#10;ixaZW7z85r3hvE6xEKvmBVXYgugtTdQn3lMQ8CsM6Yvi3XPSSQBt+fff56RalwCrnBdarOD9/fd5&#10;7rEoHKQbHUhuiRuOLVP4e+ihh4IBpERQ4fey559/3urXT+uwSC/wxBNPBJ1WeRf75D/zzjvvWMmS&#10;OZ9VFkQYtH/5ZUbq8mLA9XPddUfbSScd4Dpw4m2AgXX48Mj+fSLnMEPF0sMMO3ZmRycU6bgINCXN&#10;wFbXOQNugXiJFbEQeIvViBF/puaA8Z17LMwegXuPsMkKzI79JsAMdPGSH3L+3gJVFKxNzJ69VSBW&#10;5CbDypUr3Q4Fc+fOdfnheMykbtmy2YFIjpQfIiYz0URZ+1gq9q37+ec/3eNkwPLjM7RXr17JTRBj&#10;oW6FxUt2xCHsv3/E2oS1NF52e+C1NJcQ+80ll9ogK7RrF7HAMtj7CUgstAGs7EA78m0jI+gnqd9Y&#10;r8Ju9DDUGW+dD+fEwiWLoMPC5ncEyEu4bkIv/G4C8QhbpuPVwUiiy/RWUKpP37772B13nOTGC2Cc&#10;IO4vq32K2H3sEgguEsPAd//9H7kBFmtE797trH//LulmoOQFevLJb1wiNwbCG288JtVKIbIHgy+B&#10;0uPGzXKi5uabj4u+EgFrwKOPfuFmf337tncBsk8/Hen0Djusgw0YcGD0nWlgRXjxxcGpnT+QX+fO&#10;O08KxNSuy74nTpxvzz030HXct99+oouvSRYGIAJhsX4lClwmEPjZZwc5wUTQtA8eLazQRghYZnA5&#10;5ZRubrBIyMIJZq+cE4zGE93TVWXr28Bml9jfZSIJLQsa9TbOtkpbVljVzUut7sa5wf8lVmFb9mLd&#10;xJ5JSt29bc6acjZjUx1bUayWtevT1/Y97mQrVmZXqzjeDSx7WKsOP3zfuJMukff4QHCJpiTByvH1&#10;17+6FUGA+ZXVNPEYMmSyWwVCJWewGDDggCLrrswPmH2yagp3J3tpnX12z+graTz22FdGFl7EBq5S&#10;BmxmrqymC+/6HmbgwAn2ySejo88iW6Zcc82R6dwtHqwUzD7JOs7KPW9RTAbEHJ/FWpbos352S3K/&#10;M87oYYccEskTVVjBWvLMMwOdeDr//N524IEto6/EMP5Ds3euCG5yZLn92jI17fPm19n60umDaws6&#10;JXdus9qbgg41TrqIxRVaBEfzbjVkxW2rrXog3KpvWhT8LbbqW5ZYjeBx8RRZLwod5auZNdo3+iQS&#10;HI/VfMO6DdYiJWt7FO5xNN7frHVfs06nBGUYPC6Rux4viaYsgtUCawGDGsHFl1xyaMItDBjkH3jg&#10;Y2dKx3x7660nZMtFscez9i+zwY+bDX/BbGPmm33uEbQ73OzUp8zqtIoeKJhgacVyhsi84YZj0qVw&#10;SOXr+8y+e8Rsa8TlFLEwXWx/l0lzkbZaPdYqbV1hc6ruZ6vKFP0UJrlHilXdstwqbN/VArauVHVb&#10;W3rX/UOrbFlm/ea9bDU3RlZ8CVFoqVTbbJ+jzfY73mzv3mZlE6/uTJYspxzY08E86lP877NPo9SA&#10;yXhgqejUKZK5FuHECgqRBRBLn9xidncbs4EPSzCF+WOg2SMHBapkVPRAwQSXgl/JuEtM2ea1Zm9f&#10;avblPSHBVM8GNU0TTMVSdlqL1eOs77xXreuSL+3UqffbqX8+YJ2WfmPVtmiBReYUc+7NRRVa7vIX&#10;TzDBmuD9E2r1tZQ4sVtCFCrWLTMb+arZs8eZ3dnSbFlaLrWcssdYmgiixL1GR06QHu612JwviZg7&#10;d5mLkcGCRNDnP/95nAuAzIiwO4fVMVdeebizUIkMQCwNfdpsyFPBwJr3AZ+FGmZOJ//XrMdF0QMF&#10;i/HjZ9tLL/3g3NqPPnqOy0fkWLXA7M0LzaZ8H3kesLFkJfuk3d22rliauGKrpoMPPjhXF5WQAwvr&#10;F3sMEtRNUkISnybivfdG2NChf7hA51tuOS41ncDSpUuNlX1r1rBP21/B9/7tkvoWBerWrWs9evQK&#10;+rtBzq3cufNeLqEk+AStgMu7W7e6NmvWLKtevXpwfytZzZo1rUaNGkE5xe/nWKBx7bWvuccnnNDV&#10;jjgiLYUN+PJmZSv9Zbh/9kkvSS9y7bVHJd13ZxWfSNNDMPf11x+dLheTT15JTq7HHz8vezFGS/8M&#10;2sI82zn3V5v723jbvmCS1U9ZbBUt/f6ZIheo2sDs9l+Dm5mzGMmC6Z5bOc/stqxnW84Jm0tWtCk1&#10;DrJFlVpbue3rrdqmxVZj8yKrumWZVd1MormCnWhwfamqNqtqR5tbdT8XOxFL6Z2brdamBS7eocrm&#10;Ze7aam+c62IwRCGnZNBmD7nc7JTHowdymU1rzf74zuz3T81++8Rse2QFYG6yvVw1+6ntdTZ9R1rO&#10;IVbjHnTQQcY+UbnNxInzXKwVYBFmUUFs3i/PM8985xYAtG3b0GWJ96sbY2EiRpJbXPiXXHJYavqA&#10;7MB3sZpz6NApLpYlFlYCXnFFv3Q5mtavX2+rVq1yKw4RcP4x6WKyCuLn0EP72eefTwjEwxyXzoPF&#10;EZwX5caCBcTjBRccHJTNSPfbsbChe61a8XNI8fn163cE4qqa9e/fIyiraub3KGWSycIMJrTEIoZX&#10;B/744x9BGY9w54OgSmbFXlYhBvW2295xSVBZBcnKNsT1SScdGJRJ2kIGn72fxSC33HL8LilKsgpi&#10;/u67P3Siku9iV4AZM5ak5gBkw/AOHZo4sUYdpC5SJ/MarMU//DDJ1bmDDtrblUWBZUcwns0bb/br&#10;R2aTvzVbMiX6QkDNZmb3TzcrnrMJWIEUTdtXL7Fpj55mDdb96URLXrK2dE2bXLOnTa3Zw7YWjz8z&#10;IpCyxubFTnjEo/SOTVZ940KruWmhcxkgsuIFguY2GwKhNNMJpX0DoZQgwDYTym9fa3v9/Zt1/Gug&#10;VdhWgN1fPS+zNxZ0sBFzSjgL4cUX05mmz4uyePFiW7FiVTDQ/G7btkU68a1biwWDb7NgptzGzYQr&#10;VIg/kJGf6YknvnYxN2edtWuAeRiCte+550PXeRDT5pMSZsZnn40JOrzf3bL1e+89OeHg+8UX45w1&#10;NOG2I1jfPvqH2fAXowcg6Mg6DTA764VIEGlOwXWGCxCR9FsglrbHT0SYK1RvbDMPudcGz93sLFKU&#10;K+lN+vXrF31D7sNA+PLLQ5wgAALUue/xUgVwr7nnDBgE8Od0cMwKnCfZpL/55jebP39F6gBKHjFi&#10;xFiCn5uQvPiLL75wC1aOOuoomzlzrX3wwUj3O5dddphbAfrGG8PceWFlOuywVsG5fRX9dM5AHLPb&#10;xIgRS4O2vNF69IiUd3jxzIQJc52VEKGLaEBY5DYsNGHlM9d47LGdbfDgiS5vFMk7r7vuqFSLEvGq&#10;rITt2rWFW+Tgk3BmF+o+bf+7735Pvc8ePBr0BdTPO+54zwm7zLYOyi04n88/H+va5T33nBJ3VXGB&#10;Zek0symDzMa+E0wug/H9xqHRF7JPgRRNm9ausk9efSYQBVWseXRAr7Y543T+WYEVLCvLNbDxdY+y&#10;eZXb245iuRtd70TWliVOTMWysmx921wi+zPQvKLkzq3WZtUo67D8B6u8JfMNQ/OFUsHMs+NJZkfd&#10;YVuq7eX2iWPgYOXcWWcdHMyANgWd6ASbPXu2c5MkA24e3AfkHYtHxYoVXcdNW0j0Htyzd9/9gfuP&#10;a4FVcAyq5K0hPxQDC4PwAQekF7Kvv/6TjRw5zaVLYMBLlMvHz6bJUYMLIq4FBGsPgfHvXRM9UEhp&#10;0MHWnPm6ffXLH6n3MC9ccvFgZd/jj3/t7iMD3tVXH7nLzJ00F7fe+o5zrx97bCc75phO0VfyHxIg&#10;siKXrZlOO6279e7dPvpK7sHODu+++25w3duCdtYjqIMN7aGHPgsGim3OhYkFyCeMZZ+59euX2i+/&#10;/OKe5xaBdgjKu5i1a9fBjj66WzrLBvfs/vs/dm2HCQuWl+yAFQ63KpY4/hgIPVh8WOGKWKtYkWS5&#10;u1pW2eli3LgNwfXvdPXi6KM7BecZfTGGZcuWuf1a47lusbBh1cOdWbly5aDOl7XXXhsVnFNa1nCs&#10;avQD/MfSh6BD2OGiJNdTbsB9px8lHxob8seycyf3pHjwm42sf/+ewTmnz5G3J1EgRdPaoDK/8/Zb&#10;llIsMsNAhOy9arTtu2xwhsGfBDyuK1PLlpdraGuD//zFY1vxMrasXCRTq0hPiZ3brN3K4dZh2RCr&#10;tC1+8rm8ZpuVsj9KdbJq5z9hTTpFkr/RiZE+gJi0o47qEAiJFJs6dWq6zi43wbWAeGrWrNkuAooB&#10;BBfFtGmRrMzxYGZ+3nm9XLJC35liyZo6dZFLh4D7Jrzj/86gV1q9mkzVa4P3zA7E4AwrW7a4de7c&#10;zjp12t8lj40LZui3Lg16vd1zr3IEgvjM52zgiF9dhw24c4488siEFsHcxlv1AOsN1ouwZQ9X28MP&#10;Ixq2uxQQCPaiDO3p888/d0Ji7733tj59+qRaVKjTDNpYRNq0aWhXXXW4ff/9IDfQct94PxMZH98V&#10;z2WXFbzFkW27ateOxKGQaPQf/3jTWVqYOB18cOKUH1wL14E4ol3RvhAuHOMacsrKlcWC+lHKbQDd&#10;pcuuIRGewYMH24wZWQtAxqO6eXOxoN8pF0y+2gR1s6ErYyYSJMGkznI/cAtm10WZmVBKBGISq32r&#10;Vq2sQYMGbhK6J1EgRRM3cuDASLxB/lEsaFglbMWKna6xliu3M/hj8OMPl0H0bQWUnTs5f1bpFXOz&#10;NGYGYRjzuZ6yZXe6a2IMLlcuJWgA0TfkIWXKVAjOaXswu9sadKrFgs6Aipd5gdIpHH98F5ekEoHy&#10;yiuDgnPebHXrFgs6vcT7YRU16KTatm3r/piR7sLcsWYvn5mrK0PSUaKUBerVrNu5Zh2OjQRUJsnD&#10;D38etOe/gsGtdSA6cLWkv+8EEH///fduEOM6jz322HQ7DuQ1WBUQwFgwgdWwl156mHP/APXOxz5d&#10;eumhqZmyiyrEPw0ZMsRmzpzp6topp5ziXDO4Bz24lXFHtW5dJxjAv3IipF27ds46GLYKZcSUKTMD&#10;wToy6A82WuPGFa1UKbbbSb8nW0Fnw4ZiwWSunF188eFuv754MMB+9tlnzrKVGxBcX65cRbcVEH1g&#10;rVpVnMhn0rVkSe55Y7ICVjdc6XH7pjwAy/CwYVPchOaoozpmuhgrt/GiqcTVV199DxdfELY+oWLQ&#10;gVLRshPEmBWwKOyzzz522GGHWa9eBwYDUzPbtq14UAG3BBVzWyCiigUzp+LBDcJUW98uuuhk6979&#10;wGBm0cX9tWjRwho2bOiUtz/vzaiCfAChtGZNseBci9uiRcWdYEKMxJtEcWzrVmZqEVG1alXkuvgP&#10;5coVyzNhuGPHtkC07QjKD3N0StDQU6xOnZSgsbEtRUrQ2NL/NWiwMxg4ed/2oEOe77blmTNnWvD+&#10;7e474gXlU2/ZExHhX7duAxsxYnlwbcWDWVAd69hxb3ef6dDz697kJggKTPx//vmnm8XjQuQvdYBC&#10;xHQ51Wzmz4FqTn7GmCEIpaadnWvUznjG7NAbAuEUPC+btXiGr7761QW2EodGPrPwoMrsnwGaTojj&#10;7du3d8Iw2YE3NyAujpVRZJmHlSvXu1Wy++7b1IkDEqUSR8NjMv/H24qnKEH/hUXGD8D0b0FlcC5B&#10;H2eDW4hVb6tXr3LW3u3bWYnc3llCkoUA8FGj5tmCBRuDNlrfzj67v3Xq1DGoE5uDPndlUAdybgnK&#10;a6imKSnlg3rRwdWjeCAofRnlBnzP5s0EqKcEf7iPNzvrWU6tejmBPpV+Ccs8/WxeQVzZ4MGTgsnz&#10;UOcmJhyCeL/WrRvk2SrKeKBJsF4WrNVzUdgceOLEiUHB/BEM+Lm7YodBp0OHDm6FTrwbTQexaNFK&#10;+/nnae4GEadCzEOiRJZ5AedAB87KnQkT5gUiLu9cMBRB7do7nYgJ+s1CA501f8QGeBAZN974pjPl&#10;n3pqt6RjPxjEMVVPnz496LhXuO8pqNBWe/bs6epxQYV4oH/8441AFG2zU07p7iyGHjqen376yYJ+&#10;xz1nltq/f3838chvOM+XX/4hEAZpedToiC+8sHcgvqfZ55+Pc50yq8di9xErisyZM8dZ/3BJH374&#10;4UHfUMmtaCP1AJbCc8/t5WL2pkyZ4jZ1p52cdtpp6dpgMrz33kgbOnSysxQQs8NekuwJ+N57w4PH&#10;O4M6XjLX+31AGFLfMBJwzv5xlSpVbNCgiW53gPLlS9s11xzl0h4AFkfc6/TJnTrVD+pvJPHntm01&#10;7aqrBrhyiQf1+8cffww+t9NOPvnkXVxZPk3F8uXLnaUNwYqxADdnfsKks3Hjxk4k16/fILjfkZ0X&#10;oF27hnbmmd2De/NbIACnB21hZ9wxAvfsIYccki6UITdg2zLqCX/r1u066aX+EN/G6sL8oEC652Lx&#10;Ab+ZiSdf8amY/Od5RkG/hQ1Msuw6zmbBBETi169Vq5LVqVPVbYRZr15V95g97sLxMlmBGcuvv/7q&#10;rBp5beXLLjTw5s2bB51XJ3ef4/HRR6PcruFscZMd8y0CisGDWIT8EFB05FgruR7M7z//PDuYpW60&#10;li0rBfV3Q9A575oagpkd8T8FFZZs33XX+66esuVNeAsVBpPhw4e762LV1BFHHOEstrsLTP4vvPC9&#10;C7b2sDILsYSVpW7dKnbvvadGXynaMHB/8sknzqpByoe2bdu5vEXs0k/cF6u42NkAMYAVhfizM844&#10;I8teijFjZroVjPRVN998vFu672PMEC0PPXS66/Pp+7NjISaFgRdETC54TLA1bSyeNZN6ijicMmWh&#10;y6l3+eXkiIqIeAbrp576xrlxK1YsGYhqrD5bgu9uYKef3t+9Jx7UcTaaZmJ+/vnnu3aeDPS9WG98&#10;HBaWZh5jSMgtvFCiL+U/50g/N2TIH67/RCCSg+qOOwYE40oVZ+m5994Pg/PZGJSLBZO2JsE5kToi&#10;YuVinD3wwAOdMSK3YHUri2Iy27yczdrZ+io/XHWFQjSJwg0makQI//ljdkUHkFUhQpxW5cq17Ljj&#10;Dg/+5zwdfl6ybdt2e+edn10el/BlMhhcdlm/+NuJRKFzev55BvDF1q1bq2AWf6CzuCJkY+M+WOGE&#10;pS0/XVrJQvDwI4987mbhp5zSORBFld39597T6dD5AIG+Bxyw+/dlxJr88stDA0G3KHokDWKZ6JT3&#10;BLCKvPkmltqNLlaJOvbHHwudqMTK5PdwfP/9951VhMUSxLRk9f4x8SPmjeBy0j2QYuDtt38OhMZU&#10;F9x8zz0nR9+ZHnIGffjhKBfz+O9/nxG0qdwZs1hsQvwasTLdu+9t55zTM7Vd0Vd99tk4Gzjwt+A6&#10;sfTuDPogQghq24ABiVewffjhh27ShSg5+uijo0dzDmXHdl5MTFjBi7s0FiztCFDE4DHHdA7EXubl&#10;tGDBCnvyyW8DYbQpEEHFXUwpm537ciD9AAk9KQ/6plNPPdBGjPg5NdAdIXbCCSfsYlHLDli6uB9c&#10;RywE3iMsfcoQYJUxgh7jQV5SIGOaRNGClV+YwQnwxfzLIN+5c+fUuLCM/urXb27Dhv0VNKAtQadW&#10;Ihhc97M2bQp+MC4dTps2DYLOZGkwsKTFGxD7wIqfzPYgnDp1oZHGAHdQjx5t3CoVBjBmygxUXnAw&#10;G61Tp447XpBgZjxp0uSgY1senN+24Pl817GSBwjh5K2Y1Iu+ffsWiH6HJIqIIxIvhu8ZkIqAZIt7&#10;AgyQ3CfiNrACtmzZ0okYgm69CwTxPn78eCewSBGRneB9LBmIsbVrNwUDelm3qpR0G6yQbdq0dtDW&#10;469IY0sqQiaYjHTsuFembSlZZs9e5rKdc17kQApn/6ZMypUrHUyCZgR1NyV4bFahQopr54jGeMYG&#10;vCIjR450j1lplpsLHEqXLuVchmzphYChHGJTmLCpPDFA1Gespbg/M7LEkEjz/fdHOTcssCgCt3o4&#10;0znfMXnyAmeZ5T61a9c46M9buQUdXC/1AVcjVvCcJKVdtmytPfvsQFc3PJwHKSZwxbGROXGHiMaF&#10;CyNhK0w2KZNWreo7C3FeQd9F29i9UzwhEkAnfdNN/Z1lBgGRnzFlOcWnHQj72nFFZNag6Rz87JnZ&#10;rx/AERbE4IVncognOuZ4OWDyE1w5LFsmTgkrxccffxwMQn8GZcBq1OibYsAd0K1bN/e/oEAdi5c0&#10;sVq1PSsvja9fWAXjuekZGDnOwIhbOTtQx8k9BEuWrHIWJwQRVKuWWAghsGgjiJvVq3MvABpxQUJL&#10;hBBuyFg4RjgE4CVDtNH+KKN4sM0OgoYywjWYmyDwEQeAcPJCx0MMLFvReGs+AufFFwe7XHGIizCs&#10;bsVq9dhjX7kyAIQo1qvYBLyIJpK8ArGKWP1Kly7jYpm8cKRujB49Om69SQYsvq+9NjS138NSTeqW&#10;2247wbVN+lP6FEQiaUCweHmYaOJCvPTSF3f5u/32d6Pvyh0kmkSBhX3+rrvuaGeuJ3arMMGggHDy&#10;uX/ohLiejKCToHOmY2A1F3ttRfs+B5Y7XCY+aBrz/4gRI9zj/AaxRAf56quvBjPbL11wcDIreZi5&#10;s1KOkICCBoMyGef9oMT9yGuTf0EDIcQ9Ip40XioABkYGZARvdkUTbaF+/UjweGTV3LqQaEosUhnQ&#10;GTCxamBpyC2wegGxVRUrxp/YHHhgZID2RUJMXqJ0AlhbgXaa1SD5ZNhrr0iQOtaY8FY7lCNxQIjQ&#10;MLjpSK770EOfus3j58xZ7hJlkjQY65EXWIBLLp5wBDKg+4kglp1Zs0i02cg6duzojgEpK+gLssrW&#10;rdvsrbeGB9/J1mURiz3uR7LRhyefHuoBiV5JMJzfSDSJAg0DV27FLuQ3dMLERzA7xKQca0aPB2Zo&#10;YkToyH76aYpbyRmGDVW7dk2LY2DV36RJk9J1fHkNy9I//fRTt3AgsyXVuP5xY9CxHnrooW4lEXFM&#10;BRVELsKpefO6LlbCD+57CmSpDlsOwiAUcLFS1wgC573Zhez4gLuHIGvSUyDWMtq3L000peziRs0u&#10;WDeWLYsID1bMhV1SYRDSWCO3bSsWDPCkd0lxLvLYdkcZ+XIjID3RgpWcwL6DlAW/PWlSZDUf8T9s&#10;eOwtcPSZuJzpPz24vp57bpATTwS9I6bCYNUnvQb3IR78JjFfvM59wwXI5RM+EElRkTaZykruKO4n&#10;8VKTJ8+PHiFms7VzC2cEFv1TTunmLE6JzjkvkGgSIg+h43ryyfPtpJOSEwrEkHizM50aCQbZONND&#10;50AnxcoXoOMcO3Zsljqp7EKHyNYZWJawcsWDbMbLlxez6dNLBKKxq51++uluhRxCiRgZ3BW7O/A7&#10;Mxgc//nP/nbvvey3lfuDXkEGMeSz0MeKJmJXEE2AeM8J3pqBq4c4JUAQ+eSi8SC2iD8gOSkutZyC&#10;i2rr1h3O+oVQDouMMI0aVU8V0CTqhXiiCbcdC16AmMO8GMxLlWIVXyTRLItGKMOBA1llHhFQXAti&#10;ggUM55xziBM7GcFEgffjAkskGoFr6dmzbWqYAVYrAshxQ5Lg1KdBQTh+/TW7IEx1zzOC8iOe7Ycf&#10;JjvxBFzb8cd3TWqSSVmwT2F4hW5eo0BwIQoYuIQwmzN7JCYhkk4ivXuSQYtYItwoxBDQgTPzpy3n&#10;BYgycvgQ+BkeKBBADA6tW7e1CRPW25w524wkqo0a1bYTTjjAEiX/EwUTBkBWCLHqFfcS25l4kUsQ&#10;7G+/RTKEs7w8u+45YED85ZeZro6zaTYTBNzXBx3UOkNrE640VrlVrVrexbtkNMhnBoM0bitWa/Hb&#10;7LGXSLThLsJizKqtTp0aB+1ujROR5CgK5xgLlxGrQ3NSRolA2FFuiKTt23c6qw95rryIJFgaNxvv&#10;o9/o3Hkv5+4nTjKs8RBL7J13wQW93abEyYgUyoH4TBas8F30BSSwJUAdV+T8+fNdf4QLdcGCBS5l&#10;BCsIE0E+xE8/HZN67kwa2aYnI/EcC+e0335N3V6A8f769t0n+s6cwXUpEFyIAgjWDTo9oGNnuW9s&#10;4CsWgXB8E7Pbb7/91rnNGPRiZ8BZAYvS4sWLXZ4ZTO1sB8EO+GHLA7NO4pLOPPPMoGPqb9OmbQg+&#10;EzlHOl+2TvHxXKLwgEDycTjEqIXzAxHgDNS5nIpz6k+zZhFrk4/BwWpQrlzGK69q1owEkONWy6ml&#10;CQuND4Dme8lJlBGItOeeuzhod/umujCZrIRhckHb4/W8iGfytGhRz1ndSHGCG59rAVyM/ft3dkLC&#10;Q5wYsUHkTMPqxB+r47Ck9uvXwVmmskKnTnulWt0QbsRSAeJo//33T7WuITJImcKmxX7Vr4d+jWSi&#10;uBRxzUKNGhXdNj15uQIuN5BoEqIA0rlz89ScTqyQ+f77Se5xGLaPIT1DGAY2L56Y6THjywzM6ViQ&#10;2GD0tddes5deeslt3kqCPuKWGAjC30OsBub4o446ypnkx46d5TJoo9OY+bP6pmHD3J9hi/zBr6BD&#10;MIWTS3qBQJxOwo2kswCxOWH3FZaczCwM3gpFTFNswHNWwVpDTjFItIdcPEjzQRsAL5I84TIKW6By&#10;GwRe7NY+lB3CyLswYyEe6ZFHznJ/ffu2d+WdHRBdPjCeAH7vFgQskCRGDUPfgrsOKw1s2LA56Gd+&#10;dC5FL3yxVOFKbNIk53me8hqJJiEKILgLSDDHoEKnjN8/djsdXvNBmOHBh/fTebOp6kcffeTSAeAy&#10;QET5FVFhocQKOGaD5FPKaBsHfoPVMieddJL7XWDQIe7KxyNgJmf7mvD5iMKFF00IJtx0/rGP1QmL&#10;hpxA7qAyZdKsHJEVphkLDb/0n+XzZBXHtZddCIbGQoMbK6Oks7GEg+ApE29FCachwMqUl6IJ2ObE&#10;Q9kRNxlvpVleQDv3lmQyvHsBS3Zw9nRlG55wDiv6IyZyQ4YMs6ef/txGj07bZByr2Jln9sjSPdid&#10;KCO4EAWYN974yVlxgCSAmK9jZ5KYwdk3D1N4omXQYYhbwQWXFRcei+TYvJqNrAnU7NChcdA5NgkE&#10;11AXTAuReIQjgkE3k1VVKcGXbfojGGVmBf8nB/+nBCouvZsjlW2LgxF7evSJECJPKB6I4CrHmlU9&#10;Pvh/dKBkMkia+/cXlrJuiP01J5iMTa9n05d1sb79L3KxTWFIvfBDMCmraKOtabVJ1rzaeCtfKiLC&#10;c0S59mZlWgT/O5iV38+sbJvgD8tX3tqAEMXaRkUUHnYEjW3jb8EAGgywWxcFU00y7iYY9DeMM9uZ&#10;O0uSCw0VugTTzSa2bF09+2NOWVu8qrKt3ZK93FbFihUPZq4VXYzSli0ptnFjcdu0KcXKldpg9ast&#10;tsY151vVCn9bk1rzop+IWKEaNKhhbBfj2L4sEERZz9cihNjNOAF1VCCgTgr+HxMc2BYIpW/M1nxu&#10;tvaHoC/eNann5pSGVrb+ucH7+0f6It635kuz1R8EH4/EwuUpxUoFImqf+GKvVD2zZu9En2QfiabC&#10;xpaZQcX9NKiIQeVd92P0oBCJ2bGzpK3Y2Mh2pOwau1C7whwrWXzXzYCFEKJIUWYvs/azok+yj0RT&#10;QSclGNCwrKx6LxBJgyLuDCGEEEIkj0RTFtg8LbjS2RHxsTUoNB5Dha5mJeuYle8Y8Y2WTguosw1j&#10;g/fOibgWNgaPdyZI14+I2Z4++VuugrkR4SREUaNYSbNy7YK218qsbPCfx8Qk8LhY9vPuiNyDlBOs&#10;eAJWQ40aNcrlJSKzOxnpcyvQn2zgjzzyhYvLu/nm4xNu4RGPbdt2uK2GWIiQGQR7+8UKwAowkiIS&#10;J5gdiAck0evvv//ugsJZSfrhhx+6VaZ+U/JCxbYlLlbJVr0RCW9ISUuouwuVegZ/hwbj6IG25a8P&#10;bduKz6xi6cRj4bI1tW3MzK42cf7+1rHHida7d1tbvXqVBdrDiZB42/UkgpQYzequt7rVNlitCkut&#10;cqk5VtbmWoltxD0mWClckEQTleTRRx91gaWvvPKKsaNznrJ5RlQE/RoIm+A/Lqt4EM/CjU+W4sG1&#10;l6obfF9ajIYoYOCrLr9/JPivVIOgwR4QPG4TEb97CCzTHTUqLSiaJdvkX2EzzYjYnxsR8xuDur8l&#10;aCu5HUBdMhjQEDjlgwGBe1B+38g9KbFnZc3eE2AV5bvvvusGCnbpZ/UTQqlv374u4WVuQY4ev5ks&#10;u9hnJakhIF7GjJllb789PDjX5CaZrNq75BL2NMtZHiVWn5LwlfGPDbVZiMHqMbYLYuugQguLL/7+&#10;MhBQrwf9yvjIRIYYJ/4qB3+MlSFef22wLZox1Hq0GWldW021siX+csaIDaVPtDe/rmG//RnJ6dWl&#10;S3O76KK+7rEHkUnAOAKKLaHCecGyAuXObgPci1hIj8E9ySk5Fk3MRO6//3576KGH3N5Xn3zyiT3w&#10;wAM5y9+xNRAtk5pGn4h0lA4GKSps1RMjSr94zvOkiMLFxo1b3Wq6336bEz1ibiPja689ym39kREk&#10;x/z2299t9OiZqcnk4sGgdfTRHa1Pn/bRI2JP5f3330+3GpO+/bjjjstxYsu8YMaMJfbqqz9mmoKg&#10;bduGbgVqZu0lGbCQvPXWW064kV4AoUnesmOPPbZAllFe8eefi9wGwFjy2AKKjcrh/fdH2pAhk91j&#10;djm44oojrHbtxKvysDYioFgJnBMBFQspMkjCm1O8aMr2NirkfqlVq5YzQ5LXg5ww7C/FCWabHWvM&#10;lj0RfbKnUzxiSal9jVmDfwWj4+OBYDrWrGyLiOtO7HGQabtNm4bBrH+N20oC2OmcbSDY4y5eUju2&#10;T/j66/HOSjV79rK4WZTJk0JSOTbIPPnkA93AIgQDmN9rDujbcc8VxBxcNWpUsoMPbhPU3QZuc13y&#10;FdEeyF/ENiNk12AicMYZPbJszUpE6dKl3QBPDiu/cTVJLcNZsfcE2Cpp1qy/XMJRJmTt2zd2aUi+&#10;/HK8629wjZ522kFuq5aMwPWGq7Np06Yu1xPWuoYNGzoBiijFmhROtposGIRIuplT/DYq2bI0YVJ7&#10;/PHHna/7wAMPdIny7rrrLjvxxBNz5svNbUtT2b0jMUu4EIifKB3NI7H5z6grY2IgH4P/PGf5erGg&#10;DHiv+1zw59xBrYPPyfolCg5btmy3F14Y5Pbhyi5k7iZ+hI0uieuIzS4sBO6mESNGRJ+Zc0H16hWx&#10;IogIP/zwgxNOnvbt27ts+XsagwdPsg8/HOUE0nHHdXF7+jG5AzKRI1aT2dsuM7DqYf1EvCDoeUyC&#10;UZKKJso7l9uWpmyJJj6MW+60005zGxaiwP7zn/+4WUi/fv2i78oGmYmmsi2jIqhTIGSaRwQNwgax&#10;I8QeBFtAEAvCTuNZAatSr17tgll3O7fflhCJYPPVgQMHplpREEwIJ5EG+zP+/PPPqQP2YYcd5jL0&#10;72mwNcpNN70VaIH0wdhMxu65Z0Cmmd4LA140ZSuFJpYlv49MrlK6iVmnoPIl+msXKPoW35jVv9+s&#10;5nkuel+CSeyJlC9fxu3VtO++yVlBcVMcckg7u+++U+2UU7pJMIlMIT7Hb5eCKyovduwv7FAm3uDA&#10;/7zcpLcggyhiI98wka1duhYJwRQmW5Ymdr/GHXfppZfm2NLELGb27GgqACFElti6dYd98cXkYAa0&#10;a5ZewCTeunVt6969aTAIaoIhkofJMUvq2X8OAbXvvvvm+X5qhQ2sD+zrSFA48TiUUVbG0qLErFkr&#10;7Ztvprg+Cdq2rRvogVbOul1QYHVddlc25sjSxA8T8JYb+F2hhRBZp3TpEjZgwL5244294v5dc83B&#10;Qce1twSTyDL0897SxMo5rE0iPQgkLyQRlntyGTVqVNWqVo3UF/5369akQAkmYCLgN1XONliaNm/e&#10;nJIVeP9dd92VMmrUKPd869atKbfcckvKmDFj3POssHDhwpSVK1dGn6WxYMGCuMfnz5+fsmrVquiz&#10;NDgeFEb0WRqBMkz5+++/o8/SmDt3btzjGzduTJk+fXr0WRrBTCJlxowZ0WdpcHzmzJnRZ2msX78+&#10;ZdasWdFnaaxbty7u8WA2lzJ79uzoszQ4PmfOnOiz9HBtWb3mNWvWRJ+lwffHO8758PuxcJzriIXr&#10;4rpj4b1ZuTbOJd5xrolriIXjXHMslA31Ih58f6Jri3eca8vKNVMnqBuxUIeoY7FQ5+IdT3TNXFtW&#10;rpk2Q5uKhTYW7/iKFStc24yF44sWLYo+S092rnnTpk3RZ2nQJ8Ue37lzpzse21f548EsMHokwo4d&#10;O9xx+qZYuOZE1xbv+PLly+NeM8cXL14cfZbGsmXLUpYsWRJ9lkYwQUxZunRp9FkaHIt3PNE1+2tL&#10;9pq3b9/ujgcDRvRIBJ7HO87nOc7nwvjj/E4s2blmXouF74h3nHLmN2LhOPchFu4X9zMWf82Jri32&#10;OGUc75r9ce5RGO4Vx2OhPscbVxKNN5Domrm2rFxzXo+x2bnmRGNpvOP0r1kdY+ONN8A1x7u2ZPDX&#10;mS0ZiJomwVlwgS4ALqhwLoqdJGhCCCGEEEWRbIkmclCQamDo0KHO343fu169ei5v07Bhw+zGG290&#10;ib6EEEIIIYoK2c4ITq4mgr/ZSgVf7nvvvWd169Z1ounzzz932cG9P1wIIYQQorDiA8GzLZqEEEII&#10;IfYEvGgqWKHtQgghhBAFFIkmIYQQQogkkGgSQgghhEgCiSYhhBBCiCSQaBJCCCGESAKJJiGEEEKI&#10;JMg30TRnzhz73//+5/I7JQNZxu+880775Zdf3PM//vjDDjroIDvuuONsxYoV7hjwfeeff7599913&#10;7vmOHTvs2muvtbfffts9T4ZvvvnGHn74Yff49ddft86dO7vfZokhe9Vccskl1r9/f5s1a5Z7TyLI&#10;jv7+++/bsmXLokcirFmzxq677jr3+SVLltipp55qXbt2tSlTpkTfEWHq1Kn21ltvue9JBhKI3nTT&#10;TTZx4sToEXNLIi+77DJbuHBh9EhkU+TTTz/dfvrpJ/ecMuKaPvnkE/c8GT766CN7+umno8/Mfvzx&#10;R/fbmzdvdptVXnDBBXbiiSe6388Iru3dd99Ndw9h9erV7r75z69bt86uuOIKtxlmmF9//dXlBksW&#10;zu2GG26wP//80/22v7+HHnpo6ndz/OWXX7Z77rnH1Tt/jtwz7n8ycF+vvPJKd11ffvmldevWzXr0&#10;6OESwMLff/9tZ599trv3ixcvdscSQZ2m/pJlP8zKlSvtmmuucfd2+PDh1qtXL+vSpYt9+umn0XdE&#10;GDlypH311VfRZ5lDWV9//fUuwz9s3LjR3U/q6KBBg9wxyuT//u//7KGHHnL1ieevvvqq3XzzzUmX&#10;0aJFi9w95V4D5cv5U+dh+fLlrp6eddZZ7nFGUEZvvvmmK9cwfO7qq6929wP+/e9/u994/PHHU/se&#10;rvfRRx9N+rzhjTfecHUEXnvtNVeH+Lv11ltdeQBl8sgjj6T+Fs+fe+45u/vuu1PfkxnUf+rR0qVL&#10;XfnwG9yHjz/+2L3OeZNYeNSoUe55Rvzwww+u3wzDedx///2u/VL//XXQv9GWPSQtzmoZPf/8867d&#10;AHX3lFNOcd/Nb3kol3vvvdeVC1BG//3vf919ol9KBtoy9ZV6yvXxG8cff7wbY+C+++6zgw8+2MaO&#10;HeueZ8S3336bWu899Pt33HGHjRkzxj2+7bbb3G88+eST0XdEoF9/7LHHkr63XCt147PPPnPP6SsY&#10;z+gnfH2FIUOGuD6c74fx48fbsccem3TCaO6dH2/4DsbH2PGGetunTx+XmDojOGfOd/78+dEjETiX&#10;f/zjHzZ58mT3mITW/Ibv74C+lHGV+5QM69evt8svv9wOP/xw11dQHx588EFX9tSZMNy3q666yrVl&#10;+Pnnn+3kk09OV4czAi3SvXt3++KLL1xdpd/hdwYPHhx9R2IKrKWJG8WGkWzZwo2bOXOmDRw40BVU&#10;rNho3LixG1CASsL7k904ccKECTZ69Gi3LQw3ic0XGXTIcM530YlRqZ999lk3AGcHBuqGDRu6x2xQ&#10;TIPkWGYVNjMQMmycXLx42m2kEnMtsXDMizkGLbK6U77JQOczadIkV85AxeR527Zt3XM6Kyo6nV+y&#10;DSQWKnHTpk2jz8wJg6pVq1qJEiWiR7IHSVdr1qwZfRbZhJRBmsax//77R4+au+8kaeXa6NhpSGxS&#10;mgw03BdffNHtcO556qmnXEPu3bu3e079HTBggEv6mt0yYlBq0aJF9JnZ7bff7u7NCSecED2SPRAf&#10;1HcPQglxx6DRr1+/6FGzChUquPJjIOUPwZJsGVGeL730knXq1Mk9p3NFWHL+iCSYNm2anXvuue66&#10;slNGnBNl1Lp1a/d83LhxbpcCfoNBNtxOsgL9AQOQL6PzzjvPfTcd7n777WclS5Z0x4H2SP9DHWLA&#10;pW4km+SXvuGVV15xIo+yfuKJJ9zv0K7IpYcgpJ4y+aGeJisywiCmOTfuG/Wf70dcITr8xrPZAWHE&#10;wE95A9/LAEg7Y9APC4saNWq4sgEGXO51smW0YMECJ8w4d66Dc//666/dZII2RhnS3hlUfVvOKow9&#10;5C2krvN9lD3Xhwjw550dvv/+e9dmqlWr5uoI58gkhLGANujvJ31eo0aNUicOnAN9U7Ig6hs0aOAe&#10;I64RTSScZrJJG+E+cU1Mmil/ziWr8F30z4BwRYBwPbTr7JYRfT6TNSbj9D2IP+oF30kboxw8lBHX&#10;6CeWjG20mWSgLlaqVMmNn5w7/cOFF17o6hJ9dmZ9T76LJm4iFiNUKYIFpY6qPuecc9JZH5iloISB&#10;AR5FTsWhIP3N8tBImC1ws2g4vtPEgkTHzG9hiaKQqCB0rH62z0DH7wM3gsGCzpUKHBZe3KAOHTq4&#10;7z/ssMPcZ3jPXXfd5T5z0UUXuRtNp8e1hG8wDbpNmzbuMZ3sPvvs4252eDAPw0yDSsh5T58+3al1&#10;burFF1+cbodmLBe8z0MHwQzVN5gwderUcTM0ygiLFucANBxmrszM6HxoXFSqZ555JvV+0IlTmT2I&#10;JARUeLAAGiLXye8ccsghzsLDdzFTwwpFJ4rlkBk75+5nUkBD8WKPe8Qs2A+w8eBc/b2lI0WMUO7M&#10;0v3sAyg3ZhCZwb2nU6SjoiOhzlHfEOPeosN5Y21BPGPp8VYYGiDWhGQ6tpYtWzrhg7jl/BEIlNE/&#10;//lPN5ukrtBGEJGUUbgD4r1efCcD1gnubc+ePd3MDUsaMyo/S/dg/fH1gTpE2+AzsdAeKFvqIP8Z&#10;eBlo+W7uN2XEAEAZUZYMmN66Wb16dff74UnQEUcc4V6LhTpEXWJSwb3717/+5cqBmS3inLpC+SPC&#10;uL/eGsIgh4W4du3a7jmzY9+HxIP67e8t4po/LGd8JmxVpo1xL8JwDXS2YRELdPLUGV9OXDd1i+ul&#10;TKmvWBFpX3wH9dhb02mjlFEY7geTxPC+nrQ7xDjfj4BDNDNoYAnBykZfSd+KNYd7G7ZKIY4owzBM&#10;DCtXrhx9lh4GMn9v6RsYkKmr3Lu5c+dG32WuHOkHk4HBjYGbOsh5ezFKm6Afoow++OADe+GFF9xx&#10;LKlYmAExQX+SGdwHvov2fMYZZ7gJC4LFjzc8p49hsoPV3X8/cB1cT7KE7y19AuMLdZX7ELb4MwGh&#10;HwTuPZYVBJS//rCw5H4wpnH/aV/NmjVz4w0TDNoE1jTOnb6YMQLR5aEP8RNa6iLtATFLWw33J/wG&#10;fRDtnfLgurknfryhr6CMGNMQXmFjBX2tH3sY6xhzGJeZNMSKDs6bsYvzxmCAoKae85wx2sO4TT2j&#10;7XP/qBt77723618Zp2OtXfQ/s2fPdmXEe6kblOFJJ53kvhurL22Ae8C5eyso7Ydr5fr5DPeBsYdz&#10;p6zQGBmR76KJmzRixAg3S6Pjo3PhhtGQsV4kwrvnKHDESxgKj9kLN49KwmM46qijXIfB4MHNp/LR&#10;wdK50pnFg06fyoAooBJwA1GfdHTcHDpy3kPnQ2WlEmJaxt3D7ARx8cYbb7gOMB50FtwwZpFcTzzo&#10;tJndMuNh4EFc0DkecMABbjaeCMqPQTnerI0yolLQiSDYfBnRiOm0cbUgpqiYiAYEQKKOlAGF3/HQ&#10;oLEC0rnRQChrHnMdVGrKiA6d86eToEHSyDmfeFDJ/T1NxNFHH516bxl46BARTDQ8fjMR3H86Hky5&#10;YZM4Qpl7TR2hvPl96gnnwCyTWQh1izpAI+N9COBE0HHRSXqXAYMrop3ZGA2b2Tf3lo6WQYtZMZ0g&#10;nR0dECKcMsooUz9igs9z3+JB58G9pdOjM+e+05nz/Zx/PBA7dBrUZ9pk2L3D4I81EJFKGVFHKDe+&#10;D3HETBrRzv2m46SutWvXLvrpNKgjDBrHHHOMG5DpD4AOkrbFd3GfaOvcY0QU50sZ0Q65T5QnHTFC&#10;lvsUC9/Pd1COCEfqSCxMWvy9ZeCg3jdv3twNrJQX9zoRlBP3LVY00SFTRrxGnaSOI8B5H1tMMXmj&#10;ftPvUU68p1WrVtFP7wr3jN+iP2HgowwYeIC6demll7rn9Au+bjORY8BlkoKFnD43I/iesJU3DCLd&#10;31vaFWWEwEacYgGgnOOBdR6L7pFHHulESXiCxf3i9xBd3vIC7du3d2MC94pz4jWu3Q9qsVD3EIz0&#10;YUz+qEuUE2KYtgGUA3Ue9xGTOb6P82HiQJ3iMe2uY8eO7v2xIFZpD3379nX9dbz26O8tbZu2SBnR&#10;1yFgGTviQZ3gXDhX2hWTibBoYksy+hvaEfUQ4cD7KFPaNNfJ9dPeqGuJJpj8DnWb99KnUX8QaXwG&#10;CyZQLri/6D85f86LUAn6aeofYxrjgxdisSDGuF/8FmNGrEeG82aCwySD+0i50zdQXnh5+L0wnBvn&#10;ym974hkYuDeUH/WD3+Yz1DPGBMZPxkHqGoKK86OvDMPnONfw73hLaUbku2hC2KD86TCpjAxKNDCv&#10;pPHFMqCFFTrQ+dK50jAQXGEoMIQUAz43w880KXx89TQsBBA3hw6fSkRDozHFgnuAjprGxucpdGYO&#10;CBIGHzpyvpO4AGZ6KFU6FioDjcXDTJLZB4NjGCoscU/MFJi1xeuYqVQISX6HjpXPcMMpI54ze6QM&#10;w9YsOkyES6LGQ6OhDClXOiMvSOgImTXyfQhJroHf5w/RSQcchs6eRha2ZjFzxDLCAMSgRuNAMBAT&#10;weDKedMJ0LlQUT3sXUhnxKw4DJ8Pf388wvcWGEgRMdwHfoPBknsZbhDUE45xD5kpYRkMw2BA+RAj&#10;Rn3i/ZQ3lg0EIHWAekQ9o0PDuoUwiZ0BYTGiDlFHGJAZWPgcgoDOHfHENVKXiROjHSBCabAIh7AF&#10;js4M8RLrkmYWTXl/EMzIEde0nVgQt/7eAr/BNVJGlAtlQMfIPQ1DXUHQMRuMLSMGFzogzof6RBnR&#10;sdPJIrT4TTp43xYZ0E877bR0AhX4TVxFiB46OMqI66f+MIjRxvltBnw6XN6PeGKADZcR143lgf6E&#10;NhuG8+K7ECp8V7h9AveWPoB7y2SIDhcxTt1DEOJixeIQtkJ4+H0GunguAQZMJlT8ca6UEfcYEUO7&#10;oP+hg6cO06FTv7BkectuGEQrEwEGHmDw5zmihb6FgRnhhADhO6m3lGNYpFBPmHnHiwWk/6FPpP3E&#10;gzJkAsC9pd3TH9Iv0O9x7biXeC12wsu1MIBilWdwjIWJKQM09QWhCtRJ6iNCi74VgeLLiOs8//zz&#10;07UN4Lqp45ynn1B6ayPtk7aOMOLztG1ELIM/ooP74uEcKaNYcY3I4H4hHHzcbCzcW6xXtFPahi8j&#10;Jt4M3PShXBPl5+G3af+Md4gxyit8zxAE/DafQVT7+099ZhJAP8J9pp+m3BhTGG+43jDURSbofnLl&#10;XbDECtHO6aPpi+gX8QwwpjAO8Ju0g/D4hBihjPCEhKFPob3yG/Qb8doEE0CsSFh7+F36SH6Ha6D9&#10;8720fcYx7mO8yVYslC/9Am2Ee+rLiOulfmHFCpcR4y1t3Y831Fn6lHC5J0O+iyZOmBkiBe/Nkh4a&#10;PRdM407khuAiUdexYgMRQOEhCLybBEWOOOFGcgwTH50nHSEFSoWJB4VPQ/aihJtMLBU3lM4CcYKA&#10;o0ImAtXO7CORiGEAY3CnscdCxaczZ8BlsA3DgMTs8Z133klnzWKWQudCQ6RBMFuOhe/CBM5v0pgZ&#10;qJgJUeYEL1PZme1hKaJyUW6UXxg+y6wTsYP1yAccU0Z0AAxMzCKZhdJZh+OGYmGw4BrDsUBAB8IA&#10;QxnQKYfFoYd7iyjhHGNjMRhYEXGIlEQWRRpc7CBKHWIAoY76+kdd415xL6k33E86MjplBlU6Er4r&#10;HnwHdcbXVcqIa6KTpX7RWXD+3jUWD9x+1LdEszzaEB0wvxPG31vuEfc2doZMZ/JGNLiZOhUPhG7s&#10;DI/PedHkXUaUGeVCGdGh8+fLkAkHbq/Ytu6hTobbOmV0yy23uEETwUFbYEDzLvdYaKvUd+ph2PoZ&#10;hroeaxEChBy/wXkz4MSCWKAOx7NCUAZ0tr6jDkO7RMAhmnwbZXKCSw2rDeKeiSJ9EfWAe8CgElvW&#10;3EPEXLidc68RwdQ/RBuCkjI688wzo+/YFeot72EyGgt9BhOA2H7Gg/hlsKOMYmfqwL2KV4exGCFW&#10;EN4MWrFih7rFII7ooU4BgyUuLcqc+83AhyWCPp/ywdoRtk7Tf1KGBDXTrujbgDJiQsA10e/TD3D9&#10;3jUWD0QN70E0h+EcuW+MWd6CGAv3lv6SexvrBeFc6EPj1WHqAWVH2dIGwoM3YyF9LYKGsgIEAn0H&#10;7Rpx6Sfq9P24TPkexEcY6heChv6SPsT3A5wX30HfSb9HG+X6E7nMgQki7+Faw1AXEUPcK9oR5x4G&#10;aw79KGMm4yJtPAz3me+lDvOfexzbb8ebUHBvKQ/qgO+LeE55UEZYXekT0ARcLxM4dAfjDQKayRC/&#10;HYaJXmbku2hidsfgjMChY0wGPoOVB+XNxaLkKYQwzGqoNAz6vvJhWaLDZEZG5aJx0pj9zCYWCgzz&#10;J4McjZnBhM/SmKnA3CS+j5vgYcCgY0FoxA7e8aDxMOjyW1xXPHMv503FY+AJW2YygvNCBFLpmHkz&#10;I42FiohIoWH7zp7Bls/yOc6H91D5E5nr6cAZxClrrAvM8Km0+PVpHFR47g+V18MAQ8dJJY03C4mF&#10;zpbz4XrolMODhocyorx5H/Uiq3DPuO4wlAmWC+qKf41roh4g3JgV0zixRCVyXYbxdZVOAssTdYqO&#10;j8GR+hu+twyydCx0kuGBITMY+Blc+Z0wHKPz8GXEvU0G6iMCh/vFoB9rOqeMKBO+39d32gZlxPUy&#10;qDAA8JuJBCvt0w9AtB9fV2ib/jn3nPPnuz0MYAzyyZQR5YuY5Tpoa1gLYgWOv7eUe0Yu3XjwvQxQ&#10;sf0QcH3MbClLX0bUKfoP6gCfxbJDnfCCIR6UMXXHW105RwY/6ih9FHUxbMGjrKibtMVk2wRtk8lf&#10;bP3x+H6P+xJPMGQG58k9i4Xf455wH30fyDnzW7QF2hsTVAZaLxoygntJe6LOUvf8JIJ6FP59xBuC&#10;n/dRv5KFexFv8ga+/vt+LqvQl9LmwvWT+04doa57r4Dvl7j/jEv8JmKCNoqAzgj6aN83c/2IcfoE&#10;6irfHxYL1F3Kh/dx3cnC+2kPsWOaP29eY2yJNXh4qGNMthE7vJd+BCFMn8lYGDs5pYyoG/yud/FS&#10;DxhjqEuMyQhn6hmERSkiEW8OxygX6hx1g7qSWd+eL6KJhs5A6IOg8TcTbJbRAPpGMAvGcoHpGbMo&#10;HTBWFKwiBKjFdlZcOAoyLIiwcjBbZLbL6xQgjSncUXEzMI1zPiwHpaCZUdGgMFHyh+kVhcy5o6R5&#10;zuyDzpYKQoAuhc6MCNXNLCfcwDDPYjHgvKmQmIpxKzF78Z0Vsyv87PwG18HsCSsBDSMRXBczDEzH&#10;WH8yg8bB9zNDAcqQWTSfZybHb1H5uPbwrNebb7HsMGuKtWrgfsMdxmwPQUbZMBtm9kZjpIww/VJe&#10;zPiplPECwfl+ZsOJBjAEJ2WJ6dbfW4JFM6rk+O0RkdwTBmWCAxnssExwfrFgJeE+ehjcmQ1yr2hg&#10;1Fn++0YKNGpizvgtrovfoA5hJfMdAAMfZcj5c39xaTCrJTaOmT6DK9Y1OmA6B8qM7wqLHeogVhVm&#10;fFw3riu+H/HqO1xiyfh9ZrWU0fnnn+8mAhnVI9ojLg1metR/rCCcK20QN2AszM7Cs2baHC5C6jX1&#10;mYGP8wmLJuo950qdpr5xbpw3v8t9oIwY4DgHyo3XcXfQ3nDvMcGijChnLyTo0Jkt+/rIf/oZ2jKf&#10;YdAhKJ12R3tjYOE8cOtSxrRt2g2fiRVUYbAI+ntH2TI4I0wSWb8gtoyY8XIfaCPcW38/wmVEn8G5&#10;cs6cEyKdAZK+C7geLEv0g7Q56jHuWeoagxFlz2/gwqENco3UfcSZh/djNacuYR1g8Iy1EjHI4D7B&#10;Csc1UKdoaxkNzPRf1DX6LSyw1HH6M9oT99FfQxjKiN/w8Fv0adQJ7jXtmnvsRQMwsNK38BsE7fMa&#10;v0Edpk1RF2mH1CnKnLKhzPiPoOQaKB8GTdxitG/GmbALFjcO5849QKjj+UBYMpH1bkzuDWXEmIYF&#10;h/6TvjhWMIQhTo76Sh2g/WI547xwrWFhiwULH9fgJ3CMLUzYsfLTL3DcT+TDgoCxxo83xNtSPoxt&#10;3tJGvccCSD9C+XNteCY4F8Yxyoh2Sn/LMcqU/g9x4sHb4cce+iT6IsZBfx3UW/oDRB31EGFHv0L/&#10;Fj7XMLQprGLUa+onYxBjEXWZ+hNv8kwZcQ2+bvoJH30rn+We0WfzR78BjDtM/IktpmwYs7jnlCvn&#10;H2sp24Vp06alBKosqJtFn2DQTgkaS/RZzgluSsrTTz+dElTg6JHCT9AppXz88cfRZzknGMhcGQWN&#10;Jnqk8PPOO++kBDOS6LOcQxkFg4D7X1QIBpGUQAxGn+Uc+qhATLg2V1QIOuqUYBCMPssZwSCV8swz&#10;z6QEg1L0SOGH9kAZBSI1eiRn+DLatGlT9Ejh5+uvv04JhE70Wc6hjGhnRamMAiGWEkzEo8+yD30Q&#10;einf3XO7E1wy3rIj4oOJ2c9sxK5gVWImkygGRERmclgVk3Fh7qlgMWAWnpG1fU8HCyyuWu/iFOnB&#10;BYX7yrtvxa7gGsRamCimMjsUQzlhcszIrCiEEEIIsaeCS5S4vj3K0iSEEEIIkV0kmoQQQgghkkCi&#10;SQghhBAiCSSahBBCCCGSQKJJCCGEECIJJJqEEEIIIZJAokkIIYQQIgkkmoQQQgghkkCiSQghhBAi&#10;CSSahBBCCCGSQKJJCCGEECIJJJqEEEIIIZJAokkIIYQQIgkkmoQQQgghkkCiSQghhBAiCSSahBBC&#10;CCGSQKJJCCGEECIJJJqEEEIIIZJAokkIIYQQIgkkmoQQQgghkkCiSQghhBAiCSSahBBCCCGSQKJJ&#10;CCGEECIJJJqEEEIIIZJAokkIIYQQIgkkmoQQQgghkkCiSQghhBAiCSSahBBCCCGSQKJJCCGEECIJ&#10;JJqEEEIIIZJAokkIIYQQIgkkmoQQQgghkkCiSQghhBAiCSSahBBCCCGSQKJJCCGEECIJJJqEEEII&#10;IZJAokkIIYQQIgkkmoQQQgghkkCiSQghhBAiCSSahBBCCCGSQKJJCCGEECIJJJqEEEIIIZJAokkI&#10;IYQQIgkkmoQQQgghkkCiSQghhBAiCSSahBBCCCGSQKJJCCGEECIJJJqEEEIIIZJAokkIIYQQIgkk&#10;moQQQgghkkCiSQghhBAiCSSahBBCCCGSQKJJCCGEECIJJJqEEEIIIZJAokkIIYQQIgkkmoQQQggh&#10;kkCiSQghhBAiCSSahBBCCCGSQKJJCCGEECIJJJqEEEIIIZJAokkIIYQQIgkkmoQQQgghkkCiSQgh&#10;hBAiCSSahBBCCCGSQKJJCCGEECIJJJqEEEIIIZJAokkIIYQQIgkkmoQQQgghkkCiSQghhBAiCSSa&#10;RFzGjRtn//vf/6LPssaoUaPsjTfesHXr1tm9995rGzZsiL4iRNFk2LBh9u6779qqVavsnnvusa1b&#10;t0ZfEULEsm3bNrv//vtt2bJl0SOFB4mmAsTff//tOtzNmzdHj+SMiRMnWr9+/axz5852zjnn2MqV&#10;K6OvZJ8xY8bYIYccYt26dbPvvvsuejRz3nzzTXce/D366KPRo+Kzzz5zZbl69eroEbOdO3faAw88&#10;YNdee63NnTvX+vfv78qN/wsXLrSUlBS74oor3LGuXbvazz//HP1k0eHPP/+0nj17ptYZ/h588EHb&#10;sWNH9B35y8yZM+3YY49153HyySfbokWL3H267bbb3GtFHeoc7Zbr55q3b98efSUxfObDDz+0Dz74&#10;IHok6/z666/Wp08f97v0ZQsWLIi+kntwns8995wNGTIkeqRosmTJEjvttNPsxRdfdNfsGT9+vJ14&#10;4ok2YcKE6JGMueuuu1z7zA1mzJjh6lNhQqKpEMEs9p///GeWxE/v3r3tl19+sf3339+GDx8ePZo9&#10;+P1HHnnE3nvvPfvhhx/cYJGsFalUqVKucTAj5/x///336CvpYTC6+eabbePGjdEjRRvKpWrVqq7j&#10;8iCeKdtq1aq554iH0aNH2yWXXGL/93//54QDn+E+fPvtt86qx70pSrRu3drVlVdeecUuvPBCZ/mk&#10;/pQoUSL6jvyHNkRbOvroo23QoEHRo3sGiJcVK1a4699vv/1sypQp0VfyniOOOMLV/1tuucX+9a9/&#10;2Zo1a6Kv5D60PfpYrrUoUqNGDfvjjz/SWUKZXJcvXz76TGSGRNMeQLFixaxTp042f/786JHsMXny&#10;ZDv44IOtTp06rpFdddVVVqFCheiryVGuXDnbZ599nAVFRO4NogiRhOUCpk2bZnvvvbeVLVvWPfdg&#10;keI9a9eujR4xJ6xq1qzpOnuRP3To0MHN2osXL+6sXy1atIi+UnSh72jfvr2VLFnSTjnlFFcGmUHd&#10;xirH+3ODXr16WePGjW3OnDnRI7kD53n55Zc7i1ZRp3r16q7P2LRpk3tOf0Jd3l11uGXLlq4NFSYk&#10;mgooH3/8sT399NN24IEH2u233+6OPf/8886EfPjhhztLDbOhM844ww444AA3EwcsEXfffbedeeaZ&#10;7nmY2rVru/+ffvqp+96TTjrJ+Zax7jzzzDPOknHooYfab7/95t4HW7Zsscsuu8ymT5/uZpkM3AwW&#10;Hhodv4f5/N///nfqwJ8MWExuuukm99knn3zSiQEaEFasAQMG2Lx58+z666+3Ll26OPdeUaVRo0au&#10;fL0YwgVRv3599zgMIqpSpUrRZ3sm77zzjqsrxx13nC1dutS+/vprV3+ou8yeqVPnnXeec1tSZ3BD&#10;4NI86KCDnGvir7/+ci7mV1991X0fFozXXnvNvvzyS9d2jj/+eLvvvvucW4nPMqDgKo2NUfJt6bHH&#10;Htsj3HNYNqmjYXDRYXXr3r27ffXVV876RJwK94A/2jJlS1kSu0Ifc+WVVzrrN+UOWD2YiHEP+S4m&#10;DNwb7t9//vMf9x4P/U67du1S3Uj0N/QNTzzxhOt3EALcQz5H/4YllntIf8L3029OnTrVfZbz5T23&#10;3nqru7e4EOlbiePkP9Yt6klRo0yZMm7C691rxJ1y/VWqVHHPKSvu51FHHeW8CIQPYMmmfGl3I0aM&#10;cO8Lw709/fTT3Tjkxw7uEff71FNPdW2VdgS83rdvX2c9Btom1kPgd2hPfjwA6hFjGcf4oy7tbiSa&#10;CiiYoOlAcAPQOU2aNMmJF2ZDAwcOdCZyXDN0Qi+//LKLL6KC0RgYcN9+++3oN0V89lTWevXquQaC&#10;VWLo0KF2wgkn2DfffOPeQ1zM+eefb3fccYd9/vnn7hjwG1g9GjZs6Fxm3mXk4ffo9OhgEFiZ+bq5&#10;Lt677777OrMwcTo8ZwBcvny5c8HQqD766CM3o6Rj4xw4/9yK9SpoVK5c2bnpvLVo1qxZcWd+XD+d&#10;XBgsAIitWrVqRY8Ubeig6Wipo3TkuI2YMFCfRo4c6eoxQvvHH390dYY69f7777uBmFgMPhsP6jb1&#10;EVF2zDHHOCFEe1q8eLErWywsHtoi1r09iVatWrm2TV9Df8IffQcDI22V/oQyoX5Sj2nniBis0h7u&#10;DYPoQw89ZJ988okrX4TNSy+95PodXsOSRNkPHjzYPY6NnaKt8Bvcc4QrIQcMyPQfwD3Hmo0ook8k&#10;ZobH/Db3HxHHdyLaEMqI6XAowEUXXeT6WD6LcCtq4N7GuuMFMHWevgaPAe2Jier333/vyuGLL75w&#10;FsWffvrJeQaYXCNcYqF/Jv4Swclj7ivQHlkIxDjDOMZx3vPUU08562M4JAFoa35smj17tusHEbN8&#10;njGPcebII4+Mvnv3kdYTiLi8/PKQYFDPu5nktdceZW3bNow+S4PZAKZtOgkGBCpTgwYNoq9GOnkq&#10;MrMzLBB0YnRUzAiZyXmogFitEDsMBqVLl3biCPBvM/Pms8zgsCIxqPjZBJYsBgg6ubB1KUzbtm3d&#10;H9Dw1q9f7x7HgkWLQFJmh1jOmjVrFn0lAtfLNXmXFO8fO3asKwNmQXXr1nUDJh1pnvPiyWbjP4o+&#10;yQNuHBqMQr2iTyIz6L322ssNSohTRJCf+YWhQ+L+ci+pD1hOEFvc3/yyQCFwYzu73ARXJXUxEdQP&#10;rACAqG7SpIl7TOdOezj77LPdcyYH1HUGWC80fT2NZ0FAFGFlZcClnVH3qYP8RvPmzd09YkBGxFPW&#10;//3vf6Of3I2s+8lselo9ynWqDTDbKzKzp0ywKF988cVuMMMax4QHiKejD6HsqJtYKChzRA2WDd8n&#10;ILy4v/Q5vJdJAPcIYcWEi1W3vJd7R3kjohDFsTC4Y2ln4sjnGfQRTfw29QHLBPeIyR6fp25Qb3Av&#10;IrYRBvw2bjn6xN3J4jmT7MOnL4s+y32atz/YjrngoeizCAgfvBjcIybmhEtgGaLML7jgAvceH/tE&#10;v4sYfuGFF9znuJ9huNdM3FgkwWsII28x79Gjh4tNpKzxUnCP+Q0m9dQF2lMY+jbaNveOz/m2izWR&#10;8YH7m8wChLxGlqZCChWRGCNWlNARMWMAOiMqmMebwu+8805nxqbievccM6+MYHZALBTfmQg6MO+e&#10;w1WSCB8ITuOjc6Ty81nvnkPchaHxMXDhpkPMMZstyjRt2tR15rgPeIxY9hAQjemb2S+DFtDBsMT9&#10;6quvdmKKQWtPgEHSlw0rDpm1Un9uuOEGJ3KoN7jncDEwYNKRM+k466yznAhPBJ05ZcpAimBl0GDB&#10;Au0KQQs+EBwXAoMObXBPAjFLXaNc6VNow0za6IMYfLFi4GpmEMXFHJ7kxQMhg0BCRCFO6beIuWGg&#10;xKruLa9huE8MnvQNvAdrEJYq+pJYvOXE1xfqgp+U8RiBjSVyTwMxy73DQscf4tLj3XM33nija0uU&#10;F9YdJnTxLG+0AQQXdYBV1YxJiUAQ832MBclAW0RAIdKZUNPewxbf3YVEUyGGWRXCBlM1vl46nEQg&#10;fipWrOgsSfjsMa0zW8wIzKEM2JjZqeh0auGl8UDnyfdyDnSgmcEAhHCjU8WFwjXw2bB1zEMnjFji&#10;dawD+WJl2k1gBcEtgWkc8zkdhsevnnvrrbfSueF4Dx0cM7ZEFr6iDNfPwEn9QBAxS2ZCQOwKroGO&#10;HTu692Hex41EOg+OZwZ1HeHEQEG5xsaXtWnTxgkCH6exJ0G5INyx6uGqu+6661wf5AdeRBMCCMFJ&#10;OWUE948/BC3u08MOO8y1eWI3EajEvcRaFrCmM5Ainp599tnUvgHhnBWIU8MiRSqW2D6tqEMZ05fS&#10;ZrAKeSGJSMJlieWaiQHvYzLGvUS0hN2YYejT/TiEKxxRm1sweWGyj0WQds1Ys7uRaCpEULn9rMkr&#10;9qwOlnT0dDpha1QicBXh8yf+gM4NkyoDe9iqwaySjjJZOH++h06XWWCsEKJRYNmiwfLeeLPNogid&#10;A50Wri8EbrIweGN92RNFEwM4VgkPlgXqFZa6WDDxE+uUTC4a6h7uY2Jh4q1iFBH3JxMfb4Xz4Cpj&#10;koUQyWgSB7yPvohwANxmxFx6sKDiVsPK4OH+Ysmgz8AqiIBKBG2JukEd8aKIyRrHvQWM4GUG4nAc&#10;JhYo38cWZajfxHlRv+k/AItf7PXTrzBxxuJPbFMstA2sP8mknqFv97+VDIwzjC9vvvmm8054t/zu&#10;RjFNmXDhhX3cX0GBjoYKiprnD78znQCzM4L3EsFgjBihU6PDo8PB3cOMLhEIJWZ/rILBZ43Fg1VK&#10;WIXojMihQ0dHTAMxBXR+mGgzgu9kUKMz9KZ4AgBpFKxcAo7RQWJx4Tg+d2a1xPDkS4d2Sf6v0KDz&#10;IXYAUUvn4uMCMoMOizLBXREedPIKTPQFJUCW6yWgFbccAx9WVAZTyo5AUtxI1CWCT2kb3krBe4jV&#10;o86S6A+RSn0OgxhAYBGXEQsuVNpQViYLeUKloK11yh+3LBZf2iOuTiwUuGxwbTGpIUAY9xxQvpQ/&#10;dZLHmYH7k4kZkLCVvoVyp99hwOa++ISWWKb5TWKT6HOwbBC0jXURSxOxUUzEWARDX8H95T+JK7Fm&#10;IbiwXCGiEAAkdKROhH8DEFfUm/wI9q/fbB+79r+7rkjLa6i7tBcCsumTgX6H8uH+MTZgYaW8GTcQ&#10;l48//rizOoXhNcqPlZO8P6NxCEFGfeEeYY1kTMrMO0HbJraN8YCxinPY3dYmWZoKEViHcGfR2Ols&#10;fIdAzA/WGyplLMQKEQ/DUmDM0fizGaARQRnFKnkYmGhguIcQOYgmZh2scEOAMajwGwiejARYGEQT&#10;HRjvp8PjeoixAj94ca64V4gh4TV858l0woUV3A0MHrEpHTLDi9C8DM4uqCBsKC/+SLrKfwZdgrQv&#10;vfRS57qkzmDFY1DFhc1gTFthwoHbDhEQr15RtynXsNXKB4IT70HbKwjxFfkFZUsfQjkSHIzrnmXp&#10;5GpjoYjP20SfwkDH4JuZhY7XCebGJY2IYaUbVj4GbCZf9FX8Fs/pw4gjIy4SawViiYkCx5k4ehcq&#10;/SOCmSB1LEl8P3WCfop6wWpj+jT6H+oH/Qr32sP5E/jPApR4CwaKCrQd3KdMSD0IXcqcsmNSQP1m&#10;dSL3Gusen2FygvBBhFIXcHNSVqR6oI4QZhBvHALuLe8lJxbWK+KgMoK+jTGHiQ33gvECoby7KRbM&#10;EFKoaIkuVAgh9jQY9MlAfc011xTpWLrdCa5U4meIiwIWlBCcHQ5MzgpY4cnRhGsvN+NqxO4B4YZl&#10;ibgzxDPpQBC1TLJ3B1ggsZLJ0iSEEDFgxfArtUTegVsMdxCxK7jjwnmdhMCVSvgG1kvctrGpanYH&#10;Ek1CCBED8VDMbrO6TZBIHlyfDIK4TIlbwYJAvJkQgBuWXStIJ+Jd7cSz7W7knhNCCCGEyAC554QQ&#10;QgghsoBEkxBCCCFEEkg0CSGEEEIkgUSTEEIIIUQSSDQJIYQQQiSBRJMQQgghRBJINAkhhBBCJIFE&#10;kxBCCCFEEkg0CSGEEEIkgUSTEEIIIUQSSDQJIYQQQiSBRJMQQgghRBJINAkhhBBCJIFEkxBCCCFE&#10;Ekg0CSGEEEIkgUSTEEIIIUQSSDQJIYQQQiSBRJMQQgghRBJINAkhhBBCJIFEkxBCCCFEEhSbNm1a&#10;SvSxEEIIIYRIQPHt27fPiT4WQgghhBBx2Llz58r/B/WAzNGBWiO3AAAAAElFTkSuQmCCUEsBAi0A&#10;FAAGAAgAAAAhALGCZ7YKAQAAEwIAABMAAAAAAAAAAAAAAAAAAAAAAFtDb250ZW50X1R5cGVzXS54&#10;bWxQSwECLQAUAAYACAAAACEAOP0h/9YAAACUAQAACwAAAAAAAAAAAAAAAAA7AQAAX3JlbHMvLnJl&#10;bHNQSwECLQAUAAYACAAAACEAKSkjIzgDAAC9CgAADgAAAAAAAAAAAAAAAAA6AgAAZHJzL2Uyb0Rv&#10;Yy54bWxQSwECLQAUAAYACAAAACEALmzwAMUAAAClAQAAGQAAAAAAAAAAAAAAAACeBQAAZHJzL19y&#10;ZWxzL2Uyb0RvYy54bWwucmVsc1BLAQItABQABgAIAAAAIQA7amXw3QAAAAUBAAAPAAAAAAAAAAAA&#10;AAAAAJoGAABkcnMvZG93bnJldi54bWxQSwECLQAKAAAAAAAAACEA6i4XHLZEAAC2RAAAFAAAAAAA&#10;AAAAAAAAAACkBwAAZHJzL21lZGlhL2ltYWdlMS5wbmdQSwECLQAKAAAAAAAAACEAnI+iJFyeAABc&#10;ngAAFAAAAAAAAAAAAAAAAACMTAAAZHJzL21lZGlhL2ltYWdlMi5wbmdQSwUGAAAAAAcABwC+AQAA&#10;GusAAAAA&#10;">
                <v:rect id="Rectangle 7435" o:spid="_x0000_s1027" style="position:absolute;left:27316;top:1896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5WXxgAAAN0AAAAPAAAAZHJzL2Rvd25yZXYueG1sRI9ba8JA&#10;FITfhf6H5RR80029m7qKeEEfrQq2b4fsaRKaPRuyq4n99W5B6OMwM98ws0VjCnGjyuWWFbx1IxDE&#10;idU5pwrOp21nAsJ5ZI2FZVJwJweL+UtrhrG2NX/Q7ehTESDsYlSQeV/GUrokI4Oua0vi4H3byqAP&#10;skqlrrAOcFPIXhSNpMGcw0KGJa0ySn6OV6NgNymXn3v7W6fF5mt3OVym69PUK9V+bZbvIDw1/j/8&#10;bO+1gvGgP4S/N+EJyPkDAAD//wMAUEsBAi0AFAAGAAgAAAAhANvh9svuAAAAhQEAABMAAAAAAAAA&#10;AAAAAAAAAAAAAFtDb250ZW50X1R5cGVzXS54bWxQSwECLQAUAAYACAAAACEAWvQsW78AAAAVAQAA&#10;CwAAAAAAAAAAAAAAAAAfAQAAX3JlbHMvLnJlbHNQSwECLQAUAAYACAAAACEAnuuVl8YAAADdAAAA&#10;DwAAAAAAAAAAAAAAAAAHAgAAZHJzL2Rvd25yZXYueG1sUEsFBgAAAAADAAMAtwAAAPoCAAAAAA==&#10;" filled="f" stroked="f">
                  <v:textbox inset="0,0,0,0">
                    <w:txbxContent>
                      <w:p w:rsidR="002010BA" w:rsidRDefault="002010BA">
                        <w:pPr>
                          <w:spacing w:after="160" w:line="259" w:lineRule="auto"/>
                          <w:ind w:left="0" w:firstLine="0"/>
                          <w:jc w:val="left"/>
                        </w:pPr>
                        <w:r>
                          <w:t xml:space="preserve"> </w:t>
                        </w:r>
                      </w:p>
                    </w:txbxContent>
                  </v:textbox>
                </v:rect>
                <v:rect id="Rectangle 7436" o:spid="_x0000_s1028" style="position:absolute;left:27712;top:18968;width:205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vgxwAAAN0AAAAPAAAAZHJzL2Rvd25yZXYueG1sRI9Pa8JA&#10;FMTvBb/D8oTemo21pJq6ilRFj/4pqLdH9jUJZt+G7Nak/fRuQfA4zMxvmMmsM5W4UuNKywoGUQyC&#10;OLO65FzB12H1MgLhPLLGyjIp+CUHs2nvaYKpti3v6Lr3uQgQdikqKLyvUyldVpBBF9maOHjftjHo&#10;g2xyqRtsA9xU8jWOE2mw5LBQYE2fBWWX/Y9RsB7V89PG/rV5tTyvj9vjeHEYe6We+938A4Snzj/C&#10;9/ZGK3h/Gybw/yY8ATm9AQAA//8DAFBLAQItABQABgAIAAAAIQDb4fbL7gAAAIUBAAATAAAAAAAA&#10;AAAAAAAAAAAAAABbQ29udGVudF9UeXBlc10ueG1sUEsBAi0AFAAGAAgAAAAhAFr0LFu/AAAAFQEA&#10;AAsAAAAAAAAAAAAAAAAAHwEAAF9yZWxzLy5yZWxzUEsBAi0AFAAGAAgAAAAhAG45C+DHAAAA3QAA&#10;AA8AAAAAAAAAAAAAAAAABwIAAGRycy9kb3ducmV2LnhtbFBLBQYAAAAAAwADALcAAAD7AgAAAAA=&#10;" filled="f" stroked="f">
                  <v:textbox inset="0,0,0,0">
                    <w:txbxContent>
                      <w:p w:rsidR="002010BA" w:rsidRDefault="002010BA">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88" o:spid="_x0000_s1029" type="#_x0000_t75" style="position:absolute;top:31;width:27316;height:20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oowwAAAN0AAAAPAAAAZHJzL2Rvd25yZXYueG1sRE/LisIw&#10;FN0L/kO4wuxsOiKjdoxSBEFcjPhA6O5Oc23LNDelSbXz92YhuDyc93Ldm1rcqXWVZQWfUQyCOLe6&#10;4kLB5bwdz0E4j6yxtkwK/snBejUcLDHR9sFHup98IUIIuwQVlN43iZQuL8mgi2xDHLibbQ36ANtC&#10;6hYfIdzUchLHX9JgxaGhxIY2JeV/p84okNd0mv38ZovLvtunh066zS3OlfoY9ek3CE+9f4tf7p1W&#10;MFvMw9zwJjwBuXoCAAD//wMAUEsBAi0AFAAGAAgAAAAhANvh9svuAAAAhQEAABMAAAAAAAAAAAAA&#10;AAAAAAAAAFtDb250ZW50X1R5cGVzXS54bWxQSwECLQAUAAYACAAAACEAWvQsW78AAAAVAQAACwAA&#10;AAAAAAAAAAAAAAAfAQAAX3JlbHMvLnJlbHNQSwECLQAUAAYACAAAACEAEABqKMMAAADdAAAADwAA&#10;AAAAAAAAAAAAAAAHAgAAZHJzL2Rvd25yZXYueG1sUEsFBgAAAAADAAMAtwAAAPcCAAAAAA==&#10;">
                  <v:imagedata r:id="rId22" o:title=""/>
                </v:shape>
                <v:shape id="Picture 7990" o:spid="_x0000_s1030" type="#_x0000_t75" style="position:absolute;left:29258;width:26931;height:2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xAAAAN0AAAAPAAAAZHJzL2Rvd25yZXYueG1sRE/dasIw&#10;FL4f+A7hCN7N1IFz1kZpV8cKMticD3BoTn+0OSlN1O7tl4vBLj++/2Q3mk7caHCtZQWLeQSCuLS6&#10;5VrB6fvt8QWE88gaO8uk4Icc7LaThwRjbe/8Rbejr0UIYRejgsb7PpbSlQ0ZdHPbEweusoNBH+BQ&#10;Sz3gPYSbTj5F0bM02HJoaLCn14bKy/FqFHjM36tz9rE6uCwrlodTui/yT6Vm0zHdgPA0+n/xn7vQ&#10;Clbrddgf3oQnILe/AAAA//8DAFBLAQItABQABgAIAAAAIQDb4fbL7gAAAIUBAAATAAAAAAAAAAAA&#10;AAAAAAAAAABbQ29udGVudF9UeXBlc10ueG1sUEsBAi0AFAAGAAgAAAAhAFr0LFu/AAAAFQEAAAsA&#10;AAAAAAAAAAAAAAAAHwEAAF9yZWxzLy5yZWxzUEsBAi0AFAAGAAgAAAAhAEb5X5zEAAAA3QAAAA8A&#10;AAAAAAAAAAAAAAAABwIAAGRycy9kb3ducmV2LnhtbFBLBQYAAAAAAwADALcAAAD4AgAAAAA=&#10;">
                  <v:imagedata r:id="rId23" o:title=""/>
                </v:shape>
                <w10:anchorlock/>
              </v:group>
            </w:pict>
          </mc:Fallback>
        </mc:AlternateContent>
      </w:r>
      <w:r>
        <w:t xml:space="preserve"> </w:t>
      </w:r>
    </w:p>
    <w:p w:rsidR="001C682A" w:rsidRDefault="00B03C38">
      <w:pPr>
        <w:spacing w:after="0" w:line="259" w:lineRule="auto"/>
        <w:ind w:left="218" w:firstLine="0"/>
        <w:jc w:val="left"/>
      </w:pPr>
      <w:r>
        <w:t xml:space="preserve"> </w:t>
      </w:r>
    </w:p>
    <w:p w:rsidR="001C682A" w:rsidRDefault="00B03C38">
      <w:pPr>
        <w:spacing w:after="3" w:line="259" w:lineRule="auto"/>
        <w:ind w:left="218" w:firstLine="0"/>
        <w:jc w:val="left"/>
      </w:pPr>
      <w:r>
        <w:rPr>
          <w:rFonts w:ascii="Franklin Gothic Book" w:eastAsia="Franklin Gothic Book" w:hAnsi="Franklin Gothic Book" w:cs="Franklin Gothic Book"/>
          <w:sz w:val="24"/>
        </w:rPr>
        <w:t xml:space="preserve"> </w:t>
      </w:r>
    </w:p>
    <w:p w:rsidR="001C682A" w:rsidRDefault="00B03C38">
      <w:pPr>
        <w:pStyle w:val="Heading4"/>
        <w:tabs>
          <w:tab w:val="center" w:pos="460"/>
          <w:tab w:val="center" w:pos="1536"/>
        </w:tabs>
        <w:spacing w:after="226" w:line="259" w:lineRule="auto"/>
        <w:ind w:left="0" w:firstLine="0"/>
      </w:pPr>
      <w:bookmarkStart w:id="10" w:name="_Toc389374"/>
      <w:r>
        <w:rPr>
          <w:rFonts w:ascii="Calibri" w:eastAsia="Calibri" w:hAnsi="Calibri" w:cs="Calibri"/>
          <w:color w:val="000000"/>
          <w:sz w:val="22"/>
        </w:rPr>
        <w:tab/>
      </w:r>
      <w:r>
        <w:rPr>
          <w:rFonts w:ascii="Calibri" w:eastAsia="Calibri" w:hAnsi="Calibri" w:cs="Calibri"/>
          <w:color w:val="1F3763"/>
          <w:sz w:val="24"/>
        </w:rPr>
        <w:t xml:space="preserve">2.2.3 </w:t>
      </w:r>
      <w:r>
        <w:rPr>
          <w:rFonts w:ascii="Calibri" w:eastAsia="Calibri" w:hAnsi="Calibri" w:cs="Calibri"/>
          <w:color w:val="1F3763"/>
          <w:sz w:val="24"/>
        </w:rPr>
        <w:tab/>
        <w:t xml:space="preserve">Fiscal Sector </w:t>
      </w:r>
      <w:bookmarkEnd w:id="10"/>
    </w:p>
    <w:p w:rsidR="001C682A" w:rsidRDefault="00B03C38">
      <w:pPr>
        <w:spacing w:after="243"/>
        <w:ind w:left="236" w:right="816"/>
      </w:pPr>
      <w:r>
        <w:t xml:space="preserve">Fiscal buffers are currently very lean. The recent cut in oil production by OPEC and its allies to stabilize the world oil market has further squeezed projected net government revenues from the oil and gas sector, with consequences for foreign exchange inflows into the economy. External debt balance at end of Q1 2020 stood at USD 27.67 billion and Excess Crude Account (ECA) barely USD71 million. With the Balance of Trade (BOT) at UDS18.7 billion and widening fiscal deficit on account of lower oil revenue, the fiscal space is critically constrained.  </w:t>
      </w:r>
    </w:p>
    <w:p w:rsidR="001C682A" w:rsidRDefault="00B03C38">
      <w:pPr>
        <w:spacing w:after="246"/>
        <w:ind w:left="236" w:right="816"/>
      </w:pPr>
      <w:r>
        <w:t xml:space="preserve">Fiscal measures are being instituted to improve government revenues and entrench a regime of prudence with emphasis on achieving value for money. Some of the reforms contained in the Finance Act 2019, including the increase in VAT rate to 7.5%, are being implemented to shore up government revenues. The goal of fiscal interventions is to keep the economy active through carefully calibrated regulatory measures designed to boost domestic value-addition, de-risk the enterprise environment, attract external investment and sources of funding while managing existing debt obligations in the most fiscally sustainable manner.  </w:t>
      </w:r>
    </w:p>
    <w:p w:rsidR="001C682A" w:rsidRDefault="00B03C38">
      <w:pPr>
        <w:spacing w:after="244"/>
        <w:ind w:left="236" w:right="816"/>
      </w:pPr>
      <w:r>
        <w:t xml:space="preserve">Government is seizing the opportunity of the crisis to intensify economic diversification to ensure growth in non-oil exports, reduction in the import bill and improve economic competitiveness. Nigeria is currently implementing a modest stimulus package and providing palliatives for the most vulnerable members of the society. Fiscal support is also being provided to sub-national Governments and selected business sectors negatively impacted by the COVID-19 pandemic. </w:t>
      </w:r>
    </w:p>
    <w:p w:rsidR="001C682A" w:rsidRDefault="00B03C38">
      <w:pPr>
        <w:spacing w:after="256" w:line="259" w:lineRule="auto"/>
        <w:ind w:left="218" w:firstLine="0"/>
        <w:jc w:val="left"/>
      </w:pPr>
      <w:r>
        <w:t xml:space="preserve"> </w:t>
      </w:r>
    </w:p>
    <w:p w:rsidR="001C682A" w:rsidRDefault="00B03C38">
      <w:pPr>
        <w:spacing w:after="54" w:line="259" w:lineRule="auto"/>
        <w:ind w:left="218" w:firstLine="0"/>
        <w:jc w:val="left"/>
      </w:pPr>
      <w:r>
        <w:t xml:space="preserve"> </w:t>
      </w:r>
    </w:p>
    <w:p w:rsidR="001C682A" w:rsidRDefault="00B03C38">
      <w:pPr>
        <w:spacing w:after="0" w:line="259" w:lineRule="auto"/>
        <w:ind w:left="218" w:firstLine="0"/>
        <w:jc w:val="left"/>
      </w:pPr>
      <w:r>
        <w:rPr>
          <w:sz w:val="24"/>
        </w:rPr>
        <w:t xml:space="preserve"> </w:t>
      </w:r>
      <w:r>
        <w:rPr>
          <w:sz w:val="24"/>
        </w:rPr>
        <w:tab/>
      </w:r>
      <w:r>
        <w:rPr>
          <w:rFonts w:ascii="Calibri" w:eastAsia="Calibri" w:hAnsi="Calibri" w:cs="Calibri"/>
          <w:color w:val="1F3763"/>
          <w:sz w:val="24"/>
        </w:rPr>
        <w:t xml:space="preserve"> </w:t>
      </w:r>
    </w:p>
    <w:p w:rsidR="001C682A" w:rsidRDefault="00B03C38">
      <w:pPr>
        <w:pStyle w:val="Heading4"/>
        <w:tabs>
          <w:tab w:val="center" w:pos="460"/>
          <w:tab w:val="center" w:pos="1669"/>
        </w:tabs>
        <w:spacing w:after="63" w:line="259" w:lineRule="auto"/>
        <w:ind w:left="0" w:firstLine="0"/>
      </w:pPr>
      <w:bookmarkStart w:id="11" w:name="_Toc389375"/>
      <w:r>
        <w:rPr>
          <w:rFonts w:ascii="Calibri" w:eastAsia="Calibri" w:hAnsi="Calibri" w:cs="Calibri"/>
          <w:color w:val="000000"/>
          <w:sz w:val="22"/>
        </w:rPr>
        <w:lastRenderedPageBreak/>
        <w:tab/>
      </w:r>
      <w:r>
        <w:rPr>
          <w:rFonts w:ascii="Calibri" w:eastAsia="Calibri" w:hAnsi="Calibri" w:cs="Calibri"/>
          <w:color w:val="1F3763"/>
          <w:sz w:val="24"/>
        </w:rPr>
        <w:t xml:space="preserve">2.2.4 </w:t>
      </w:r>
      <w:r>
        <w:rPr>
          <w:rFonts w:ascii="Calibri" w:eastAsia="Calibri" w:hAnsi="Calibri" w:cs="Calibri"/>
          <w:color w:val="1F3763"/>
          <w:sz w:val="24"/>
        </w:rPr>
        <w:tab/>
        <w:t xml:space="preserve">External Sector </w:t>
      </w:r>
      <w:bookmarkEnd w:id="11"/>
    </w:p>
    <w:p w:rsidR="001C682A" w:rsidRDefault="00B03C38">
      <w:pPr>
        <w:pStyle w:val="Heading5"/>
        <w:tabs>
          <w:tab w:val="center" w:pos="365"/>
          <w:tab w:val="center" w:pos="1252"/>
        </w:tabs>
        <w:spacing w:after="120" w:line="259" w:lineRule="auto"/>
        <w:ind w:left="0" w:firstLine="0"/>
      </w:pPr>
      <w:bookmarkStart w:id="12" w:name="_Toc389376"/>
      <w:r>
        <w:rPr>
          <w:rFonts w:ascii="Calibri" w:eastAsia="Calibri" w:hAnsi="Calibri" w:cs="Calibri"/>
          <w:color w:val="000000"/>
          <w:sz w:val="22"/>
        </w:rPr>
        <w:tab/>
      </w:r>
      <w:r>
        <w:rPr>
          <w:rFonts w:ascii="Arial" w:eastAsia="Arial" w:hAnsi="Arial" w:cs="Arial"/>
          <w:i/>
          <w:color w:val="2F5496"/>
          <w:sz w:val="24"/>
        </w:rPr>
        <w:t xml:space="preserve">(a) </w:t>
      </w:r>
      <w:r>
        <w:rPr>
          <w:rFonts w:ascii="Arial" w:eastAsia="Arial" w:hAnsi="Arial" w:cs="Arial"/>
          <w:i/>
          <w:color w:val="2F5496"/>
          <w:sz w:val="24"/>
        </w:rPr>
        <w:tab/>
        <w:t xml:space="preserve">Trade </w:t>
      </w:r>
      <w:bookmarkEnd w:id="12"/>
    </w:p>
    <w:p w:rsidR="001C682A" w:rsidRDefault="00B03C38">
      <w:pPr>
        <w:spacing w:after="204" w:line="259" w:lineRule="auto"/>
        <w:ind w:left="213"/>
        <w:jc w:val="left"/>
      </w:pPr>
      <w:r>
        <w:rPr>
          <w:rFonts w:ascii="Franklin Gothic Book" w:eastAsia="Franklin Gothic Book" w:hAnsi="Franklin Gothic Book" w:cs="Franklin Gothic Book"/>
          <w:sz w:val="20"/>
        </w:rPr>
        <w:t>Figure 2.7: Foreign Trade (NGN’ Billion) (Q1 2008 – Q2 2020)</w:t>
      </w:r>
      <w:r>
        <w:rPr>
          <w:rFonts w:ascii="Franklin Gothic Book" w:eastAsia="Franklin Gothic Book" w:hAnsi="Franklin Gothic Book" w:cs="Franklin Gothic Book"/>
          <w:sz w:val="24"/>
        </w:rPr>
        <w:t xml:space="preserve"> </w:t>
      </w:r>
    </w:p>
    <w:p w:rsidR="001C682A" w:rsidRDefault="00B03C38">
      <w:pPr>
        <w:ind w:left="236" w:right="816"/>
      </w:pPr>
      <w:r>
        <w:rPr>
          <w:noProof/>
        </w:rPr>
        <w:drawing>
          <wp:anchor distT="0" distB="0" distL="114300" distR="114300" simplePos="0" relativeHeight="251664384" behindDoc="0" locked="0" layoutInCell="1" allowOverlap="0">
            <wp:simplePos x="0" y="0"/>
            <wp:positionH relativeFrom="column">
              <wp:posOffset>138379</wp:posOffset>
            </wp:positionH>
            <wp:positionV relativeFrom="paragraph">
              <wp:posOffset>2301</wp:posOffset>
            </wp:positionV>
            <wp:extent cx="4000500" cy="2590800"/>
            <wp:effectExtent l="0" t="0" r="0" b="0"/>
            <wp:wrapSquare wrapText="bothSides"/>
            <wp:docPr id="8580" name="Picture 8580"/>
            <wp:cNvGraphicFramePr/>
            <a:graphic xmlns:a="http://schemas.openxmlformats.org/drawingml/2006/main">
              <a:graphicData uri="http://schemas.openxmlformats.org/drawingml/2006/picture">
                <pic:pic xmlns:pic="http://schemas.openxmlformats.org/drawingml/2006/picture">
                  <pic:nvPicPr>
                    <pic:cNvPr id="8580" name="Picture 8580"/>
                    <pic:cNvPicPr/>
                  </pic:nvPicPr>
                  <pic:blipFill>
                    <a:blip r:embed="rId24"/>
                    <a:stretch>
                      <a:fillRect/>
                    </a:stretch>
                  </pic:blipFill>
                  <pic:spPr>
                    <a:xfrm>
                      <a:off x="0" y="0"/>
                      <a:ext cx="4000500" cy="2590800"/>
                    </a:xfrm>
                    <a:prstGeom prst="rect">
                      <a:avLst/>
                    </a:prstGeom>
                  </pic:spPr>
                </pic:pic>
              </a:graphicData>
            </a:graphic>
          </wp:anchor>
        </w:drawing>
      </w:r>
      <w:r>
        <w:t xml:space="preserve">Foreign trade in Q1 2020 was estimated at N8.3 trillion. The value of exports reduced to N4.08 trillion from N4.77 trillion recorded in Q4 2019, while import stood at N4.22 trillion in Q1 </w:t>
      </w:r>
    </w:p>
    <w:p w:rsidR="001C682A" w:rsidRDefault="00B03C38">
      <w:pPr>
        <w:spacing w:after="7" w:line="253" w:lineRule="auto"/>
        <w:ind w:left="236" w:right="818"/>
        <w:jc w:val="right"/>
      </w:pPr>
      <w:r>
        <w:t xml:space="preserve">2020 when compared to </w:t>
      </w:r>
    </w:p>
    <w:p w:rsidR="001C682A" w:rsidRDefault="00B03C38">
      <w:pPr>
        <w:spacing w:after="246"/>
        <w:ind w:left="236" w:right="816"/>
      </w:pPr>
      <w:r>
        <w:t xml:space="preserve">N5.35 trillion recorded in Q4 2019, indicating a 21.08% decline. </w:t>
      </w:r>
    </w:p>
    <w:p w:rsidR="001C682A" w:rsidRDefault="00B03C38">
      <w:pPr>
        <w:spacing w:after="63"/>
        <w:ind w:left="226" w:right="816" w:firstLine="93"/>
      </w:pPr>
      <w:r>
        <w:t xml:space="preserve">Trade balance maintained the negative trend standing at -N138.99 billion, from N579.06 billion in Q4 2019. The downturn recorded in the value of balance-of-trade could be attributed to the decline recorded in the value of both crude oil exports and non-crude oil exports. In Q1 2020 Crude oil exports stood at N2.944 trillion while non-crude oil exports recorded was N1.14 trillion. </w:t>
      </w:r>
    </w:p>
    <w:p w:rsidR="001C682A" w:rsidRDefault="00B03C38">
      <w:pPr>
        <w:spacing w:after="45" w:line="259" w:lineRule="auto"/>
        <w:ind w:left="218" w:firstLine="0"/>
        <w:jc w:val="left"/>
      </w:pPr>
      <w:r>
        <w:rPr>
          <w:i/>
          <w:color w:val="2F5496"/>
          <w:sz w:val="24"/>
        </w:rPr>
        <w:t xml:space="preserve"> </w:t>
      </w:r>
    </w:p>
    <w:p w:rsidR="001C682A" w:rsidRDefault="00B03C38">
      <w:pPr>
        <w:pStyle w:val="Heading5"/>
        <w:spacing w:after="84" w:line="259" w:lineRule="auto"/>
        <w:ind w:left="213"/>
      </w:pPr>
      <w:bookmarkStart w:id="13" w:name="_Toc389377"/>
      <w:r>
        <w:rPr>
          <w:rFonts w:ascii="Arial" w:eastAsia="Arial" w:hAnsi="Arial" w:cs="Arial"/>
          <w:i/>
          <w:color w:val="2F5496"/>
          <w:sz w:val="24"/>
        </w:rPr>
        <w:t xml:space="preserve">(b) External Reserves and Capital Flows </w:t>
      </w:r>
      <w:bookmarkEnd w:id="13"/>
    </w:p>
    <w:p w:rsidR="001C682A" w:rsidRDefault="00B03C38">
      <w:pPr>
        <w:spacing w:after="246" w:line="259" w:lineRule="auto"/>
        <w:ind w:left="213"/>
        <w:jc w:val="left"/>
      </w:pPr>
      <w:r>
        <w:rPr>
          <w:rFonts w:ascii="Franklin Gothic Book" w:eastAsia="Franklin Gothic Book" w:hAnsi="Franklin Gothic Book" w:cs="Franklin Gothic Book"/>
          <w:sz w:val="20"/>
        </w:rPr>
        <w:t xml:space="preserve">Figure 2.8: External Reserves (USD Billion) (Jan 2015 – May 2020) </w:t>
      </w:r>
    </w:p>
    <w:p w:rsidR="001C682A" w:rsidRDefault="00B03C38">
      <w:pPr>
        <w:ind w:left="236" w:right="816"/>
      </w:pPr>
      <w:r>
        <w:t xml:space="preserve">Accretion to foreign reserves is slowing down, with the total declining to US$36.38 billion in </w:t>
      </w:r>
    </w:p>
    <w:p w:rsidR="001C682A" w:rsidRDefault="00B03C38">
      <w:pPr>
        <w:ind w:left="236" w:right="816"/>
      </w:pPr>
      <w:r>
        <w:rPr>
          <w:noProof/>
        </w:rPr>
        <w:drawing>
          <wp:anchor distT="0" distB="0" distL="114300" distR="114300" simplePos="0" relativeHeight="251665408" behindDoc="0" locked="0" layoutInCell="1" allowOverlap="0">
            <wp:simplePos x="0" y="0"/>
            <wp:positionH relativeFrom="column">
              <wp:posOffset>51384</wp:posOffset>
            </wp:positionH>
            <wp:positionV relativeFrom="paragraph">
              <wp:posOffset>121046</wp:posOffset>
            </wp:positionV>
            <wp:extent cx="3924300" cy="2603500"/>
            <wp:effectExtent l="0" t="0" r="0" b="0"/>
            <wp:wrapSquare wrapText="bothSides"/>
            <wp:docPr id="8582" name="Picture 8582"/>
            <wp:cNvGraphicFramePr/>
            <a:graphic xmlns:a="http://schemas.openxmlformats.org/drawingml/2006/main">
              <a:graphicData uri="http://schemas.openxmlformats.org/drawingml/2006/picture">
                <pic:pic xmlns:pic="http://schemas.openxmlformats.org/drawingml/2006/picture">
                  <pic:nvPicPr>
                    <pic:cNvPr id="8582" name="Picture 8582"/>
                    <pic:cNvPicPr/>
                  </pic:nvPicPr>
                  <pic:blipFill>
                    <a:blip r:embed="rId25"/>
                    <a:stretch>
                      <a:fillRect/>
                    </a:stretch>
                  </pic:blipFill>
                  <pic:spPr>
                    <a:xfrm>
                      <a:off x="0" y="0"/>
                      <a:ext cx="3924300" cy="2603500"/>
                    </a:xfrm>
                    <a:prstGeom prst="rect">
                      <a:avLst/>
                    </a:prstGeom>
                  </pic:spPr>
                </pic:pic>
              </a:graphicData>
            </a:graphic>
          </wp:anchor>
        </w:drawing>
      </w:r>
      <w:r>
        <w:t>June 2020 from US$44.7 billion in April 2019, an 18.6% drop. COVID-19 compounded the steady decline in external reserves which is largely attributable to low foreign investment flows and the impact of the decline in the international oil</w:t>
      </w:r>
      <w:r>
        <w:rPr>
          <w:sz w:val="24"/>
        </w:rPr>
        <w:t xml:space="preserve"> </w:t>
      </w:r>
      <w:r>
        <w:t xml:space="preserve">price on crude oil receipts.    The moderate recovery in crude oil prices in </w:t>
      </w:r>
    </w:p>
    <w:p w:rsidR="001C682A" w:rsidRDefault="00B03C38">
      <w:pPr>
        <w:ind w:left="236" w:right="816"/>
      </w:pPr>
      <w:r>
        <w:t xml:space="preserve">May 2020, and the disbursement of IMF’s </w:t>
      </w:r>
    </w:p>
    <w:p w:rsidR="001C682A" w:rsidRDefault="00B03C38">
      <w:pPr>
        <w:spacing w:after="240" w:line="273" w:lineRule="auto"/>
        <w:ind w:left="203" w:right="171" w:firstLine="90"/>
        <w:jc w:val="left"/>
      </w:pPr>
      <w:r>
        <w:t xml:space="preserve">US$3.4 billion rapid financing instrument </w:t>
      </w:r>
      <w:r>
        <w:tab/>
        <w:t xml:space="preserve">momentarily eased </w:t>
      </w:r>
      <w:r>
        <w:tab/>
        <w:t xml:space="preserve">the </w:t>
      </w:r>
      <w:r>
        <w:tab/>
        <w:t xml:space="preserve">pressure </w:t>
      </w:r>
      <w:r>
        <w:tab/>
        <w:t xml:space="preserve">on external reserves.  </w:t>
      </w:r>
    </w:p>
    <w:p w:rsidR="001C682A" w:rsidRDefault="00B03C38">
      <w:pPr>
        <w:spacing w:after="246"/>
        <w:ind w:left="236" w:right="816"/>
      </w:pPr>
      <w:r>
        <w:t xml:space="preserve">Monetary policy rates have been relatively high and stable with the goals of checking capital outflows to slow down external reserves erosion. </w:t>
      </w:r>
    </w:p>
    <w:p w:rsidR="001C682A" w:rsidRDefault="00B03C38">
      <w:pPr>
        <w:spacing w:after="66"/>
        <w:ind w:left="236" w:right="816"/>
      </w:pPr>
      <w:r>
        <w:lastRenderedPageBreak/>
        <w:t xml:space="preserve">The uncertainty and general decline in global economic activities caused by the COVID-19 pandemic have inspired a flight to safety, and further dimmed the prospect of reversing the downward trend in foreign portfolio investments (FPIs) in the Nigerian Treasury Bills (NTBs), a major source of dollar inflow into the country. </w:t>
      </w:r>
    </w:p>
    <w:p w:rsidR="001C682A" w:rsidRDefault="00B03C38">
      <w:pPr>
        <w:spacing w:after="56" w:line="259" w:lineRule="auto"/>
        <w:ind w:left="218" w:firstLine="0"/>
        <w:jc w:val="left"/>
      </w:pPr>
      <w:r>
        <w:rPr>
          <w:rFonts w:ascii="Calibri" w:eastAsia="Calibri" w:hAnsi="Calibri" w:cs="Calibri"/>
          <w:color w:val="1F3763"/>
          <w:sz w:val="24"/>
        </w:rPr>
        <w:t xml:space="preserve"> </w:t>
      </w:r>
    </w:p>
    <w:p w:rsidR="001C682A" w:rsidRDefault="00B03C38">
      <w:pPr>
        <w:pStyle w:val="Heading4"/>
        <w:spacing w:after="151" w:line="259" w:lineRule="auto"/>
        <w:ind w:left="213"/>
      </w:pPr>
      <w:bookmarkStart w:id="14" w:name="_Toc389378"/>
      <w:r>
        <w:rPr>
          <w:rFonts w:ascii="Calibri" w:eastAsia="Calibri" w:hAnsi="Calibri" w:cs="Calibri"/>
          <w:color w:val="1F3763"/>
        </w:rPr>
        <w:t xml:space="preserve">2.2.5 Tax Expenditure Statement </w:t>
      </w:r>
      <w:bookmarkEnd w:id="14"/>
    </w:p>
    <w:p w:rsidR="001C682A" w:rsidRDefault="00B03C38">
      <w:pPr>
        <w:spacing w:after="244"/>
        <w:ind w:left="236" w:right="816"/>
      </w:pPr>
      <w:r>
        <w:t xml:space="preserve">Improving the tax administration framework to optimize government revenues has been a major thrust of the Administration’s Public Finance Management PFM) reforms. Government has taken the view that preparing a Tax Expenditure Statement (TES) will further entrench accountability and transparency in the management of the economy. </w:t>
      </w:r>
    </w:p>
    <w:p w:rsidR="001C682A" w:rsidRDefault="00B03C38">
      <w:pPr>
        <w:spacing w:after="243"/>
        <w:ind w:left="236" w:right="816"/>
      </w:pPr>
      <w:r>
        <w:t xml:space="preserve">The purpose of the tax expenditure statement is to provide further transparency around </w:t>
      </w:r>
      <w:proofErr w:type="spellStart"/>
      <w:r>
        <w:t>policymotivated</w:t>
      </w:r>
      <w:proofErr w:type="spellEnd"/>
      <w:r>
        <w:t xml:space="preserve"> ‘expenditures’ made through the tax system. Government understates public expenditure when tax waivers/concessions are excluded from expenditure estimates in the annual budget. The result is similar whether government chooses to spend directly on, or forego revenue from, certain individuals, groups, or activities.  Government expenditures therefore can be explicit as in direct expenditure outlays on public health, education and infrastructures or implicit as in tax expenditures. Tax expenditures in Nigeria take the form of an exemption, allowance, preferential tax rate, deferral, or offset that reduces a tax obligation to achieve a specific policy objective.  </w:t>
      </w:r>
    </w:p>
    <w:p w:rsidR="001C682A" w:rsidRDefault="00B03C38">
      <w:pPr>
        <w:ind w:left="236" w:right="816"/>
      </w:pPr>
      <w:r>
        <w:t xml:space="preserve">The statement is not intended to be an evaluation of policy effectiveness or desirability. Estimating tax expenditures is expected to facilitate formulation of evidence-based policies. The Statement is also intended to create incentives for taxpayers to change their behaviour in ways consistent with economic policy direction. A fuller discussion of the objectives and modus of preparing the TES is attached as annexure 2 to this MTEF/FSP. A detailed TES including estimates of the tax expenditure will accompany the 2021 budget. </w:t>
      </w:r>
    </w:p>
    <w:p w:rsidR="001C682A" w:rsidRDefault="00B03C38">
      <w:pPr>
        <w:spacing w:after="447" w:line="259" w:lineRule="auto"/>
        <w:ind w:left="218" w:firstLine="0"/>
        <w:jc w:val="left"/>
      </w:pPr>
      <w:r>
        <w:t xml:space="preserve"> </w:t>
      </w:r>
    </w:p>
    <w:p w:rsidR="001C682A" w:rsidRDefault="00B03C38">
      <w:pPr>
        <w:pStyle w:val="Heading2"/>
        <w:tabs>
          <w:tab w:val="center" w:pos="418"/>
          <w:tab w:val="center" w:pos="3441"/>
        </w:tabs>
        <w:ind w:left="0" w:firstLine="0"/>
      </w:pPr>
      <w:bookmarkStart w:id="15" w:name="_Toc389379"/>
      <w:r>
        <w:rPr>
          <w:rFonts w:ascii="Calibri" w:eastAsia="Calibri" w:hAnsi="Calibri" w:cs="Calibri"/>
          <w:sz w:val="22"/>
        </w:rPr>
        <w:tab/>
      </w:r>
      <w:r>
        <w:t xml:space="preserve">3.0 </w:t>
      </w:r>
      <w:r>
        <w:tab/>
        <w:t xml:space="preserve">REVIEW OF 2019 BUDGET PERFORMANCE </w:t>
      </w:r>
      <w:bookmarkEnd w:id="15"/>
    </w:p>
    <w:p w:rsidR="001C682A" w:rsidRDefault="00B03C38">
      <w:pPr>
        <w:spacing w:after="249" w:line="259" w:lineRule="auto"/>
        <w:ind w:left="190" w:firstLine="0"/>
        <w:jc w:val="left"/>
      </w:pPr>
      <w:r>
        <w:rPr>
          <w:rFonts w:ascii="Calibri" w:eastAsia="Calibri" w:hAnsi="Calibri" w:cs="Calibri"/>
          <w:noProof/>
        </w:rPr>
        <mc:AlternateContent>
          <mc:Choice Requires="wpg">
            <w:drawing>
              <wp:inline distT="0" distB="0" distL="0" distR="0">
                <wp:extent cx="5764658" cy="18288"/>
                <wp:effectExtent l="0" t="0" r="0" b="0"/>
                <wp:docPr id="324649" name="Group 324649"/>
                <wp:cNvGraphicFramePr/>
                <a:graphic xmlns:a="http://schemas.openxmlformats.org/drawingml/2006/main">
                  <a:graphicData uri="http://schemas.microsoft.com/office/word/2010/wordprocessingGroup">
                    <wpg:wgp>
                      <wpg:cNvGrpSpPr/>
                      <wpg:grpSpPr>
                        <a:xfrm>
                          <a:off x="0" y="0"/>
                          <a:ext cx="5764658" cy="18288"/>
                          <a:chOff x="0" y="0"/>
                          <a:chExt cx="5764658" cy="18288"/>
                        </a:xfrm>
                      </wpg:grpSpPr>
                      <wps:wsp>
                        <wps:cNvPr id="395737" name="Shape 395737"/>
                        <wps:cNvSpPr/>
                        <wps:spPr>
                          <a:xfrm>
                            <a:off x="0" y="0"/>
                            <a:ext cx="5764658" cy="18288"/>
                          </a:xfrm>
                          <a:custGeom>
                            <a:avLst/>
                            <a:gdLst/>
                            <a:ahLst/>
                            <a:cxnLst/>
                            <a:rect l="0" t="0" r="0" b="0"/>
                            <a:pathLst>
                              <a:path w="5764658" h="18288">
                                <a:moveTo>
                                  <a:pt x="0" y="0"/>
                                </a:moveTo>
                                <a:lnTo>
                                  <a:pt x="5764658" y="0"/>
                                </a:lnTo>
                                <a:lnTo>
                                  <a:pt x="5764658" y="18288"/>
                                </a:lnTo>
                                <a:lnTo>
                                  <a:pt x="0" y="1828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24649" style="width:453.91pt;height:1.44pt;mso-position-horizontal-relative:char;mso-position-vertical-relative:line" coordsize="57646,182">
                <v:shape id="Shape 395738" style="position:absolute;width:57646;height:182;left:0;top:0;" coordsize="5764658,18288" path="m0,0l5764658,0l5764658,18288l0,18288l0,0">
                  <v:stroke weight="0pt" endcap="flat" joinstyle="miter" miterlimit="10" on="false" color="#000000" opacity="0"/>
                  <v:fill on="true" color="#000080"/>
                </v:shape>
              </v:group>
            </w:pict>
          </mc:Fallback>
        </mc:AlternateContent>
      </w:r>
    </w:p>
    <w:p w:rsidR="001C682A" w:rsidRDefault="00B03C38">
      <w:pPr>
        <w:spacing w:after="172"/>
        <w:ind w:left="236" w:right="816"/>
      </w:pPr>
      <w:r>
        <w:t xml:space="preserve">The performance of the 2019 budget parameters shows that GDP growth and oil production fell below target, while inflation and oil price closed better than projected. </w:t>
      </w:r>
    </w:p>
    <w:p w:rsidR="001C682A" w:rsidRDefault="00B03C38">
      <w:pPr>
        <w:tabs>
          <w:tab w:val="center" w:pos="938"/>
          <w:tab w:val="center" w:pos="4558"/>
        </w:tabs>
        <w:spacing w:after="0" w:line="259" w:lineRule="auto"/>
        <w:ind w:left="0" w:firstLine="0"/>
        <w:jc w:val="left"/>
      </w:pPr>
      <w:r>
        <w:rPr>
          <w:rFonts w:ascii="Calibri" w:eastAsia="Calibri" w:hAnsi="Calibri" w:cs="Calibri"/>
        </w:rPr>
        <w:tab/>
      </w:r>
      <w:r>
        <w:rPr>
          <w:rFonts w:ascii="Franklin Gothic Book" w:eastAsia="Franklin Gothic Book" w:hAnsi="Franklin Gothic Book" w:cs="Franklin Gothic Book"/>
          <w:sz w:val="20"/>
        </w:rPr>
        <w:t xml:space="preserve"> </w:t>
      </w:r>
      <w:r>
        <w:rPr>
          <w:rFonts w:ascii="Franklin Gothic Book" w:eastAsia="Franklin Gothic Book" w:hAnsi="Franklin Gothic Book" w:cs="Franklin Gothic Book"/>
          <w:sz w:val="20"/>
        </w:rPr>
        <w:tab/>
      </w:r>
      <w:bookmarkStart w:id="16" w:name="_Hlk49580255"/>
      <w:r>
        <w:rPr>
          <w:rFonts w:ascii="Franklin Gothic Book" w:eastAsia="Franklin Gothic Book" w:hAnsi="Franklin Gothic Book" w:cs="Franklin Gothic Book"/>
          <w:sz w:val="20"/>
        </w:rPr>
        <w:t xml:space="preserve">Table 3.1: Performance of key 2019 budget parameters </w:t>
      </w:r>
    </w:p>
    <w:tbl>
      <w:tblPr>
        <w:tblStyle w:val="TableGrid"/>
        <w:tblW w:w="5902" w:type="dxa"/>
        <w:tblInd w:w="1785" w:type="dxa"/>
        <w:tblCellMar>
          <w:top w:w="68" w:type="dxa"/>
          <w:left w:w="42" w:type="dxa"/>
          <w:right w:w="46" w:type="dxa"/>
        </w:tblCellMar>
        <w:tblLook w:val="04A0" w:firstRow="1" w:lastRow="0" w:firstColumn="1" w:lastColumn="0" w:noHBand="0" w:noVBand="1"/>
      </w:tblPr>
      <w:tblGrid>
        <w:gridCol w:w="578"/>
        <w:gridCol w:w="2716"/>
        <w:gridCol w:w="1086"/>
        <w:gridCol w:w="1522"/>
      </w:tblGrid>
      <w:tr w:rsidR="001C682A">
        <w:trPr>
          <w:trHeight w:val="345"/>
        </w:trPr>
        <w:tc>
          <w:tcPr>
            <w:tcW w:w="578" w:type="dxa"/>
            <w:tcBorders>
              <w:top w:val="single" w:sz="5" w:space="0" w:color="C00000"/>
              <w:left w:val="single" w:sz="5" w:space="0" w:color="FFFFFF"/>
              <w:bottom w:val="single" w:sz="10" w:space="0" w:color="C00000"/>
              <w:right w:val="single" w:sz="5" w:space="0" w:color="FFFFFF"/>
            </w:tcBorders>
            <w:shd w:val="clear" w:color="auto" w:fill="203764"/>
          </w:tcPr>
          <w:p w:rsidR="001C682A" w:rsidRDefault="00B03C38">
            <w:pPr>
              <w:spacing w:after="0" w:line="259" w:lineRule="auto"/>
              <w:ind w:left="35" w:firstLine="0"/>
            </w:pPr>
            <w:r>
              <w:rPr>
                <w:rFonts w:ascii="Calibri" w:eastAsia="Calibri" w:hAnsi="Calibri" w:cs="Calibri"/>
                <w:b/>
                <w:color w:val="FFFFFF"/>
                <w:sz w:val="20"/>
              </w:rPr>
              <w:t>S/No</w:t>
            </w:r>
          </w:p>
        </w:tc>
        <w:tc>
          <w:tcPr>
            <w:tcW w:w="2716" w:type="dxa"/>
            <w:tcBorders>
              <w:top w:val="single" w:sz="5" w:space="0" w:color="C00000"/>
              <w:left w:val="single" w:sz="5" w:space="0" w:color="FFFFFF"/>
              <w:bottom w:val="single" w:sz="10" w:space="0" w:color="C00000"/>
              <w:right w:val="single" w:sz="5" w:space="0" w:color="FFFFFF"/>
            </w:tcBorders>
            <w:shd w:val="clear" w:color="auto" w:fill="203764"/>
          </w:tcPr>
          <w:p w:rsidR="001C682A" w:rsidRDefault="00B03C38">
            <w:pPr>
              <w:spacing w:after="0" w:line="259" w:lineRule="auto"/>
              <w:ind w:left="16" w:firstLine="0"/>
              <w:jc w:val="center"/>
            </w:pPr>
            <w:r>
              <w:rPr>
                <w:rFonts w:ascii="Calibri" w:eastAsia="Calibri" w:hAnsi="Calibri" w:cs="Calibri"/>
                <w:b/>
                <w:color w:val="FFFFFF"/>
                <w:sz w:val="20"/>
              </w:rPr>
              <w:t>Description</w:t>
            </w:r>
          </w:p>
        </w:tc>
        <w:tc>
          <w:tcPr>
            <w:tcW w:w="1086" w:type="dxa"/>
            <w:tcBorders>
              <w:top w:val="single" w:sz="5" w:space="0" w:color="C00000"/>
              <w:left w:val="single" w:sz="5" w:space="0" w:color="FFFFFF"/>
              <w:bottom w:val="single" w:sz="10" w:space="0" w:color="C00000"/>
              <w:right w:val="single" w:sz="5" w:space="0" w:color="FFFFFF"/>
            </w:tcBorders>
            <w:shd w:val="clear" w:color="auto" w:fill="203764"/>
          </w:tcPr>
          <w:p w:rsidR="001C682A" w:rsidRDefault="00B03C38">
            <w:pPr>
              <w:spacing w:after="0" w:line="259" w:lineRule="auto"/>
              <w:ind w:left="60" w:firstLine="0"/>
              <w:jc w:val="left"/>
            </w:pPr>
            <w:r>
              <w:rPr>
                <w:rFonts w:ascii="Calibri" w:eastAsia="Calibri" w:hAnsi="Calibri" w:cs="Calibri"/>
                <w:b/>
                <w:color w:val="FFFFFF"/>
                <w:sz w:val="20"/>
              </w:rPr>
              <w:t>FY Budget</w:t>
            </w:r>
          </w:p>
        </w:tc>
        <w:tc>
          <w:tcPr>
            <w:tcW w:w="1522" w:type="dxa"/>
            <w:tcBorders>
              <w:top w:val="single" w:sz="5" w:space="0" w:color="C00000"/>
              <w:left w:val="single" w:sz="5" w:space="0" w:color="FFFFFF"/>
              <w:bottom w:val="single" w:sz="10" w:space="0" w:color="C00000"/>
              <w:right w:val="single" w:sz="5" w:space="0" w:color="FFFFFF"/>
            </w:tcBorders>
            <w:shd w:val="clear" w:color="auto" w:fill="203764"/>
          </w:tcPr>
          <w:p w:rsidR="001C682A" w:rsidRDefault="00B03C38">
            <w:pPr>
              <w:spacing w:after="0" w:line="259" w:lineRule="auto"/>
              <w:ind w:left="0" w:right="8" w:firstLine="0"/>
              <w:jc w:val="center"/>
            </w:pPr>
            <w:r>
              <w:rPr>
                <w:rFonts w:ascii="Calibri" w:eastAsia="Calibri" w:hAnsi="Calibri" w:cs="Calibri"/>
                <w:b/>
                <w:color w:val="FFFFFF"/>
                <w:sz w:val="20"/>
              </w:rPr>
              <w:t>Actual</w:t>
            </w:r>
          </w:p>
        </w:tc>
      </w:tr>
      <w:tr w:rsidR="001C682A">
        <w:trPr>
          <w:trHeight w:val="318"/>
        </w:trPr>
        <w:tc>
          <w:tcPr>
            <w:tcW w:w="578" w:type="dxa"/>
            <w:tcBorders>
              <w:top w:val="single" w:sz="10" w:space="0" w:color="C00000"/>
              <w:left w:val="single" w:sz="5" w:space="0" w:color="FFFFFF"/>
              <w:bottom w:val="single" w:sz="5" w:space="0" w:color="FFFFFF"/>
              <w:right w:val="single" w:sz="5" w:space="0" w:color="FFFFFF"/>
            </w:tcBorders>
            <w:shd w:val="clear" w:color="auto" w:fill="EDEDED"/>
          </w:tcPr>
          <w:p w:rsidR="001C682A" w:rsidRDefault="00B03C38">
            <w:pPr>
              <w:spacing w:after="0" w:line="259" w:lineRule="auto"/>
              <w:ind w:left="0" w:firstLine="0"/>
              <w:jc w:val="right"/>
            </w:pPr>
            <w:r>
              <w:rPr>
                <w:rFonts w:ascii="Calibri" w:eastAsia="Calibri" w:hAnsi="Calibri" w:cs="Calibri"/>
                <w:sz w:val="20"/>
              </w:rPr>
              <w:t>1</w:t>
            </w:r>
          </w:p>
        </w:tc>
        <w:tc>
          <w:tcPr>
            <w:tcW w:w="2716" w:type="dxa"/>
            <w:tcBorders>
              <w:top w:val="single" w:sz="10" w:space="0" w:color="C00000"/>
              <w:left w:val="single" w:sz="5" w:space="0" w:color="FFFFFF"/>
              <w:bottom w:val="single" w:sz="5" w:space="0" w:color="FFFFFF"/>
              <w:right w:val="single" w:sz="5" w:space="0" w:color="FFFFFF"/>
            </w:tcBorders>
            <w:shd w:val="clear" w:color="auto" w:fill="F2F2F2"/>
          </w:tcPr>
          <w:p w:rsidR="001C682A" w:rsidRDefault="00B03C38">
            <w:pPr>
              <w:spacing w:after="0" w:line="259" w:lineRule="auto"/>
              <w:ind w:left="0" w:firstLine="0"/>
              <w:jc w:val="left"/>
            </w:pPr>
            <w:r>
              <w:rPr>
                <w:rFonts w:ascii="Calibri" w:eastAsia="Calibri" w:hAnsi="Calibri" w:cs="Calibri"/>
                <w:sz w:val="20"/>
              </w:rPr>
              <w:t>GDP Growth Rate (%)</w:t>
            </w:r>
          </w:p>
        </w:tc>
        <w:tc>
          <w:tcPr>
            <w:tcW w:w="1086" w:type="dxa"/>
            <w:tcBorders>
              <w:top w:val="single" w:sz="10" w:space="0" w:color="C00000"/>
              <w:left w:val="single" w:sz="5" w:space="0" w:color="FFFFFF"/>
              <w:bottom w:val="single" w:sz="5" w:space="0" w:color="FFFFFF"/>
              <w:right w:val="single" w:sz="5" w:space="0" w:color="FFFFFF"/>
            </w:tcBorders>
            <w:shd w:val="clear" w:color="auto" w:fill="EDEDED"/>
          </w:tcPr>
          <w:p w:rsidR="001C682A" w:rsidRDefault="00B03C38">
            <w:pPr>
              <w:spacing w:after="0" w:line="259" w:lineRule="auto"/>
              <w:ind w:left="23" w:firstLine="0"/>
              <w:jc w:val="center"/>
            </w:pPr>
            <w:r>
              <w:rPr>
                <w:rFonts w:ascii="Calibri" w:eastAsia="Calibri" w:hAnsi="Calibri" w:cs="Calibri"/>
                <w:sz w:val="20"/>
              </w:rPr>
              <w:t xml:space="preserve">           3.01</w:t>
            </w:r>
          </w:p>
        </w:tc>
        <w:tc>
          <w:tcPr>
            <w:tcW w:w="1522" w:type="dxa"/>
            <w:tcBorders>
              <w:top w:val="single" w:sz="10" w:space="0" w:color="C00000"/>
              <w:left w:val="single" w:sz="5" w:space="0" w:color="FFFFFF"/>
              <w:bottom w:val="single" w:sz="5" w:space="0" w:color="FFFFFF"/>
              <w:right w:val="single" w:sz="5" w:space="0" w:color="FFFFFF"/>
            </w:tcBorders>
            <w:shd w:val="clear" w:color="auto" w:fill="EDEDED"/>
          </w:tcPr>
          <w:p w:rsidR="001C682A" w:rsidRDefault="00B03C38">
            <w:pPr>
              <w:spacing w:after="0" w:line="259" w:lineRule="auto"/>
              <w:ind w:left="21" w:firstLine="0"/>
              <w:jc w:val="center"/>
            </w:pPr>
            <w:r>
              <w:rPr>
                <w:rFonts w:ascii="Calibri" w:eastAsia="Calibri" w:hAnsi="Calibri" w:cs="Calibri"/>
                <w:sz w:val="20"/>
              </w:rPr>
              <w:t xml:space="preserve">                    2.27</w:t>
            </w:r>
          </w:p>
        </w:tc>
      </w:tr>
      <w:tr w:rsidR="001C682A">
        <w:trPr>
          <w:trHeight w:val="310"/>
        </w:trPr>
        <w:tc>
          <w:tcPr>
            <w:tcW w:w="578" w:type="dxa"/>
            <w:tcBorders>
              <w:top w:val="single" w:sz="5" w:space="0" w:color="FFFFFF"/>
              <w:left w:val="single" w:sz="5" w:space="0" w:color="FFFFFF"/>
              <w:bottom w:val="single" w:sz="5" w:space="0" w:color="FFFFFF"/>
              <w:right w:val="single" w:sz="5" w:space="0" w:color="FFFFFF"/>
            </w:tcBorders>
          </w:tcPr>
          <w:p w:rsidR="001C682A" w:rsidRDefault="00B03C38">
            <w:pPr>
              <w:spacing w:after="0" w:line="259" w:lineRule="auto"/>
              <w:ind w:left="0" w:firstLine="0"/>
              <w:jc w:val="right"/>
            </w:pPr>
            <w:r>
              <w:rPr>
                <w:rFonts w:ascii="Calibri" w:eastAsia="Calibri" w:hAnsi="Calibri" w:cs="Calibri"/>
                <w:sz w:val="20"/>
              </w:rPr>
              <w:t>2</w:t>
            </w:r>
          </w:p>
        </w:tc>
        <w:tc>
          <w:tcPr>
            <w:tcW w:w="2716" w:type="dxa"/>
            <w:tcBorders>
              <w:top w:val="single" w:sz="5" w:space="0" w:color="FFFFFF"/>
              <w:left w:val="single" w:sz="5" w:space="0" w:color="FFFFFF"/>
              <w:bottom w:val="single" w:sz="5" w:space="0" w:color="FFFFFF"/>
              <w:right w:val="single" w:sz="5" w:space="0" w:color="FFFFFF"/>
            </w:tcBorders>
          </w:tcPr>
          <w:p w:rsidR="001C682A" w:rsidRDefault="00B03C38">
            <w:pPr>
              <w:spacing w:after="0" w:line="259" w:lineRule="auto"/>
              <w:ind w:left="0" w:firstLine="0"/>
              <w:jc w:val="left"/>
            </w:pPr>
            <w:r>
              <w:rPr>
                <w:rFonts w:ascii="Calibri" w:eastAsia="Calibri" w:hAnsi="Calibri" w:cs="Calibri"/>
                <w:sz w:val="20"/>
              </w:rPr>
              <w:t>Oil Production (</w:t>
            </w:r>
            <w:proofErr w:type="spellStart"/>
            <w:r>
              <w:rPr>
                <w:rFonts w:ascii="Calibri" w:eastAsia="Calibri" w:hAnsi="Calibri" w:cs="Calibri"/>
                <w:sz w:val="20"/>
              </w:rPr>
              <w:t>mbpd</w:t>
            </w:r>
            <w:proofErr w:type="spellEnd"/>
            <w:r>
              <w:rPr>
                <w:rFonts w:ascii="Calibri" w:eastAsia="Calibri" w:hAnsi="Calibri" w:cs="Calibri"/>
                <w:sz w:val="20"/>
              </w:rPr>
              <w:t>)</w:t>
            </w:r>
          </w:p>
        </w:tc>
        <w:tc>
          <w:tcPr>
            <w:tcW w:w="1086" w:type="dxa"/>
            <w:tcBorders>
              <w:top w:val="single" w:sz="5" w:space="0" w:color="FFFFFF"/>
              <w:left w:val="single" w:sz="5" w:space="0" w:color="FFFFFF"/>
              <w:bottom w:val="single" w:sz="5" w:space="0" w:color="FFFFFF"/>
              <w:right w:val="single" w:sz="5" w:space="0" w:color="FFFFFF"/>
            </w:tcBorders>
          </w:tcPr>
          <w:p w:rsidR="001C682A" w:rsidRDefault="00B03C38">
            <w:pPr>
              <w:spacing w:after="0" w:line="259" w:lineRule="auto"/>
              <w:ind w:left="23" w:firstLine="0"/>
              <w:jc w:val="center"/>
            </w:pPr>
            <w:r>
              <w:rPr>
                <w:rFonts w:ascii="Calibri" w:eastAsia="Calibri" w:hAnsi="Calibri" w:cs="Calibri"/>
                <w:sz w:val="20"/>
              </w:rPr>
              <w:t xml:space="preserve">           2.30</w:t>
            </w:r>
          </w:p>
        </w:tc>
        <w:tc>
          <w:tcPr>
            <w:tcW w:w="1522" w:type="dxa"/>
            <w:tcBorders>
              <w:top w:val="single" w:sz="5" w:space="0" w:color="FFFFFF"/>
              <w:left w:val="single" w:sz="5" w:space="0" w:color="FFFFFF"/>
              <w:bottom w:val="single" w:sz="5" w:space="0" w:color="FFFFFF"/>
              <w:right w:val="single" w:sz="5" w:space="0" w:color="FFFFFF"/>
            </w:tcBorders>
          </w:tcPr>
          <w:p w:rsidR="001C682A" w:rsidRDefault="00B03C38">
            <w:pPr>
              <w:spacing w:after="0" w:line="259" w:lineRule="auto"/>
              <w:ind w:left="0" w:right="63" w:firstLine="0"/>
              <w:jc w:val="right"/>
            </w:pPr>
            <w:r>
              <w:rPr>
                <w:rFonts w:ascii="Calibri" w:eastAsia="Calibri" w:hAnsi="Calibri" w:cs="Calibri"/>
                <w:sz w:val="20"/>
              </w:rPr>
              <w:t>*1.96</w:t>
            </w:r>
          </w:p>
        </w:tc>
      </w:tr>
      <w:tr w:rsidR="001C682A">
        <w:trPr>
          <w:trHeight w:val="317"/>
        </w:trPr>
        <w:tc>
          <w:tcPr>
            <w:tcW w:w="578" w:type="dxa"/>
            <w:tcBorders>
              <w:top w:val="single" w:sz="5" w:space="0" w:color="FFFFFF"/>
              <w:left w:val="single" w:sz="5" w:space="0" w:color="FFFFFF"/>
              <w:bottom w:val="single" w:sz="5" w:space="0" w:color="FFFFFF"/>
              <w:right w:val="single" w:sz="5" w:space="0" w:color="FFFFFF"/>
            </w:tcBorders>
            <w:shd w:val="clear" w:color="auto" w:fill="EDEDED"/>
          </w:tcPr>
          <w:p w:rsidR="001C682A" w:rsidRDefault="00B03C38">
            <w:pPr>
              <w:spacing w:after="0" w:line="259" w:lineRule="auto"/>
              <w:ind w:left="0" w:firstLine="0"/>
              <w:jc w:val="right"/>
            </w:pPr>
            <w:r>
              <w:rPr>
                <w:rFonts w:ascii="Calibri" w:eastAsia="Calibri" w:hAnsi="Calibri" w:cs="Calibri"/>
                <w:sz w:val="20"/>
              </w:rPr>
              <w:t>3</w:t>
            </w:r>
          </w:p>
        </w:tc>
        <w:tc>
          <w:tcPr>
            <w:tcW w:w="2716" w:type="dxa"/>
            <w:tcBorders>
              <w:top w:val="single" w:sz="5" w:space="0" w:color="FFFFFF"/>
              <w:left w:val="single" w:sz="5" w:space="0" w:color="FFFFFF"/>
              <w:bottom w:val="single" w:sz="5" w:space="0" w:color="FFFFFF"/>
              <w:right w:val="single" w:sz="5" w:space="0" w:color="FFFFFF"/>
            </w:tcBorders>
            <w:shd w:val="clear" w:color="auto" w:fill="EDEDED"/>
          </w:tcPr>
          <w:p w:rsidR="001C682A" w:rsidRDefault="00B03C38">
            <w:pPr>
              <w:spacing w:after="0" w:line="259" w:lineRule="auto"/>
              <w:ind w:left="0" w:firstLine="0"/>
              <w:jc w:val="left"/>
            </w:pPr>
            <w:r>
              <w:rPr>
                <w:rFonts w:ascii="Calibri" w:eastAsia="Calibri" w:hAnsi="Calibri" w:cs="Calibri"/>
                <w:sz w:val="20"/>
              </w:rPr>
              <w:t>Oil Price Benchmark (US$/b)</w:t>
            </w:r>
          </w:p>
        </w:tc>
        <w:tc>
          <w:tcPr>
            <w:tcW w:w="1086" w:type="dxa"/>
            <w:tcBorders>
              <w:top w:val="single" w:sz="5" w:space="0" w:color="FFFFFF"/>
              <w:left w:val="single" w:sz="5" w:space="0" w:color="FFFFFF"/>
              <w:bottom w:val="single" w:sz="5" w:space="0" w:color="FFFFFF"/>
              <w:right w:val="single" w:sz="5" w:space="0" w:color="FFFFFF"/>
            </w:tcBorders>
            <w:shd w:val="clear" w:color="auto" w:fill="EDEDED"/>
          </w:tcPr>
          <w:p w:rsidR="001C682A" w:rsidRDefault="00B03C38">
            <w:pPr>
              <w:spacing w:after="0" w:line="259" w:lineRule="auto"/>
              <w:ind w:left="60" w:firstLine="0"/>
              <w:jc w:val="left"/>
            </w:pPr>
            <w:r>
              <w:rPr>
                <w:rFonts w:ascii="Calibri" w:eastAsia="Calibri" w:hAnsi="Calibri" w:cs="Calibri"/>
                <w:sz w:val="20"/>
              </w:rPr>
              <w:t xml:space="preserve">              60</w:t>
            </w:r>
          </w:p>
        </w:tc>
        <w:tc>
          <w:tcPr>
            <w:tcW w:w="1522" w:type="dxa"/>
            <w:tcBorders>
              <w:top w:val="single" w:sz="5" w:space="0" w:color="FFFFFF"/>
              <w:left w:val="single" w:sz="5" w:space="0" w:color="FFFFFF"/>
              <w:bottom w:val="single" w:sz="5" w:space="0" w:color="FFFFFF"/>
              <w:right w:val="single" w:sz="5" w:space="0" w:color="FFFFFF"/>
            </w:tcBorders>
            <w:shd w:val="clear" w:color="auto" w:fill="EDEDED"/>
          </w:tcPr>
          <w:p w:rsidR="001C682A" w:rsidRDefault="00B03C38">
            <w:pPr>
              <w:spacing w:after="0" w:line="259" w:lineRule="auto"/>
              <w:ind w:left="61" w:firstLine="0"/>
              <w:jc w:val="left"/>
            </w:pPr>
            <w:r>
              <w:rPr>
                <w:rFonts w:ascii="Calibri" w:eastAsia="Calibri" w:hAnsi="Calibri" w:cs="Calibri"/>
                <w:sz w:val="20"/>
              </w:rPr>
              <w:t xml:space="preserve">                    67.2</w:t>
            </w:r>
          </w:p>
        </w:tc>
      </w:tr>
      <w:tr w:rsidR="001C682A">
        <w:trPr>
          <w:trHeight w:val="311"/>
        </w:trPr>
        <w:tc>
          <w:tcPr>
            <w:tcW w:w="578" w:type="dxa"/>
            <w:tcBorders>
              <w:top w:val="single" w:sz="5" w:space="0" w:color="FFFFFF"/>
              <w:left w:val="single" w:sz="5" w:space="0" w:color="FFFFFF"/>
              <w:bottom w:val="single" w:sz="5" w:space="0" w:color="FFFFFF"/>
              <w:right w:val="single" w:sz="5" w:space="0" w:color="FFFFFF"/>
            </w:tcBorders>
          </w:tcPr>
          <w:p w:rsidR="001C682A" w:rsidRDefault="00B03C38">
            <w:pPr>
              <w:spacing w:after="0" w:line="259" w:lineRule="auto"/>
              <w:ind w:left="0" w:firstLine="0"/>
              <w:jc w:val="right"/>
            </w:pPr>
            <w:r>
              <w:rPr>
                <w:rFonts w:ascii="Calibri" w:eastAsia="Calibri" w:hAnsi="Calibri" w:cs="Calibri"/>
                <w:sz w:val="20"/>
              </w:rPr>
              <w:t>4</w:t>
            </w:r>
          </w:p>
        </w:tc>
        <w:tc>
          <w:tcPr>
            <w:tcW w:w="2716" w:type="dxa"/>
            <w:tcBorders>
              <w:top w:val="single" w:sz="5" w:space="0" w:color="FFFFFF"/>
              <w:left w:val="single" w:sz="5" w:space="0" w:color="FFFFFF"/>
              <w:bottom w:val="single" w:sz="5" w:space="0" w:color="FFFFFF"/>
              <w:right w:val="single" w:sz="5" w:space="0" w:color="FFFFFF"/>
            </w:tcBorders>
          </w:tcPr>
          <w:p w:rsidR="001C682A" w:rsidRDefault="00B03C38">
            <w:pPr>
              <w:spacing w:after="0" w:line="259" w:lineRule="auto"/>
              <w:ind w:left="0" w:firstLine="0"/>
              <w:jc w:val="left"/>
            </w:pPr>
            <w:r>
              <w:rPr>
                <w:rFonts w:ascii="Calibri" w:eastAsia="Calibri" w:hAnsi="Calibri" w:cs="Calibri"/>
                <w:sz w:val="20"/>
              </w:rPr>
              <w:t>Inflation (%)</w:t>
            </w:r>
          </w:p>
        </w:tc>
        <w:tc>
          <w:tcPr>
            <w:tcW w:w="1086" w:type="dxa"/>
            <w:tcBorders>
              <w:top w:val="single" w:sz="5" w:space="0" w:color="FFFFFF"/>
              <w:left w:val="single" w:sz="5" w:space="0" w:color="FFFFFF"/>
              <w:bottom w:val="single" w:sz="5" w:space="0" w:color="FFFFFF"/>
              <w:right w:val="single" w:sz="5" w:space="0" w:color="FFFFFF"/>
            </w:tcBorders>
          </w:tcPr>
          <w:p w:rsidR="001C682A" w:rsidRDefault="00B03C38">
            <w:pPr>
              <w:spacing w:after="0" w:line="259" w:lineRule="auto"/>
              <w:ind w:left="60" w:firstLine="0"/>
              <w:jc w:val="left"/>
            </w:pPr>
            <w:r>
              <w:rPr>
                <w:rFonts w:ascii="Calibri" w:eastAsia="Calibri" w:hAnsi="Calibri" w:cs="Calibri"/>
                <w:sz w:val="20"/>
              </w:rPr>
              <w:t xml:space="preserve">         12.50</w:t>
            </w:r>
          </w:p>
        </w:tc>
        <w:tc>
          <w:tcPr>
            <w:tcW w:w="1522" w:type="dxa"/>
            <w:tcBorders>
              <w:top w:val="single" w:sz="5" w:space="0" w:color="FFFFFF"/>
              <w:left w:val="single" w:sz="5" w:space="0" w:color="FFFFFF"/>
              <w:bottom w:val="single" w:sz="5" w:space="0" w:color="FFFFFF"/>
              <w:right w:val="single" w:sz="5" w:space="0" w:color="FFFFFF"/>
            </w:tcBorders>
          </w:tcPr>
          <w:p w:rsidR="001C682A" w:rsidRDefault="00B03C38">
            <w:pPr>
              <w:spacing w:after="0" w:line="259" w:lineRule="auto"/>
              <w:ind w:left="0" w:right="64" w:firstLine="0"/>
              <w:jc w:val="right"/>
            </w:pPr>
            <w:r>
              <w:rPr>
                <w:rFonts w:ascii="Calibri" w:eastAsia="Calibri" w:hAnsi="Calibri" w:cs="Calibri"/>
                <w:sz w:val="20"/>
              </w:rPr>
              <w:t>**11.98</w:t>
            </w:r>
          </w:p>
        </w:tc>
      </w:tr>
      <w:tr w:rsidR="001C682A">
        <w:trPr>
          <w:trHeight w:val="365"/>
        </w:trPr>
        <w:tc>
          <w:tcPr>
            <w:tcW w:w="578" w:type="dxa"/>
            <w:tcBorders>
              <w:top w:val="single" w:sz="5" w:space="0" w:color="FFFFFF"/>
              <w:left w:val="single" w:sz="5" w:space="0" w:color="FFFFFF"/>
              <w:bottom w:val="single" w:sz="10" w:space="0" w:color="C00000"/>
              <w:right w:val="single" w:sz="5" w:space="0" w:color="FFFFFF"/>
            </w:tcBorders>
            <w:shd w:val="clear" w:color="auto" w:fill="F2F2F2"/>
          </w:tcPr>
          <w:p w:rsidR="001C682A" w:rsidRDefault="00B03C38">
            <w:pPr>
              <w:spacing w:after="0" w:line="259" w:lineRule="auto"/>
              <w:ind w:left="0" w:firstLine="0"/>
              <w:jc w:val="right"/>
            </w:pPr>
            <w:r>
              <w:rPr>
                <w:rFonts w:ascii="Calibri" w:eastAsia="Calibri" w:hAnsi="Calibri" w:cs="Calibri"/>
                <w:sz w:val="20"/>
              </w:rPr>
              <w:t>5</w:t>
            </w:r>
          </w:p>
        </w:tc>
        <w:tc>
          <w:tcPr>
            <w:tcW w:w="2716" w:type="dxa"/>
            <w:tcBorders>
              <w:top w:val="single" w:sz="5" w:space="0" w:color="FFFFFF"/>
              <w:left w:val="single" w:sz="5" w:space="0" w:color="FFFFFF"/>
              <w:bottom w:val="single" w:sz="10" w:space="0" w:color="C00000"/>
              <w:right w:val="single" w:sz="5" w:space="0" w:color="FFFFFF"/>
            </w:tcBorders>
            <w:shd w:val="clear" w:color="auto" w:fill="EDEDED"/>
          </w:tcPr>
          <w:p w:rsidR="001C682A" w:rsidRDefault="00B03C38">
            <w:pPr>
              <w:spacing w:after="0" w:line="259" w:lineRule="auto"/>
              <w:ind w:left="0" w:firstLine="0"/>
              <w:jc w:val="left"/>
            </w:pPr>
            <w:r>
              <w:rPr>
                <w:rFonts w:ascii="Calibri" w:eastAsia="Calibri" w:hAnsi="Calibri" w:cs="Calibri"/>
                <w:sz w:val="20"/>
              </w:rPr>
              <w:t>Exchange Rate (N/$)</w:t>
            </w:r>
          </w:p>
        </w:tc>
        <w:tc>
          <w:tcPr>
            <w:tcW w:w="1086" w:type="dxa"/>
            <w:tcBorders>
              <w:top w:val="single" w:sz="5" w:space="0" w:color="FFFFFF"/>
              <w:left w:val="single" w:sz="5" w:space="0" w:color="FFFFFF"/>
              <w:bottom w:val="single" w:sz="10" w:space="0" w:color="C00000"/>
              <w:right w:val="single" w:sz="5" w:space="0" w:color="FFFFFF"/>
            </w:tcBorders>
            <w:shd w:val="clear" w:color="auto" w:fill="F2F2F2"/>
          </w:tcPr>
          <w:p w:rsidR="001C682A" w:rsidRDefault="00B03C38">
            <w:pPr>
              <w:spacing w:after="0" w:line="259" w:lineRule="auto"/>
              <w:ind w:left="24" w:firstLine="0"/>
              <w:jc w:val="center"/>
            </w:pPr>
            <w:r>
              <w:rPr>
                <w:rFonts w:ascii="Calibri" w:eastAsia="Calibri" w:hAnsi="Calibri" w:cs="Calibri"/>
                <w:sz w:val="20"/>
              </w:rPr>
              <w:t xml:space="preserve">            305</w:t>
            </w:r>
          </w:p>
        </w:tc>
        <w:tc>
          <w:tcPr>
            <w:tcW w:w="1522" w:type="dxa"/>
            <w:tcBorders>
              <w:top w:val="single" w:sz="5" w:space="0" w:color="FFFFFF"/>
              <w:left w:val="single" w:sz="5" w:space="0" w:color="FFFFFF"/>
              <w:bottom w:val="single" w:sz="10" w:space="0" w:color="C00000"/>
              <w:right w:val="single" w:sz="5" w:space="0" w:color="FFFFFF"/>
            </w:tcBorders>
            <w:shd w:val="clear" w:color="auto" w:fill="F2F2F2"/>
          </w:tcPr>
          <w:p w:rsidR="001C682A" w:rsidRDefault="00B03C38">
            <w:pPr>
              <w:spacing w:after="0" w:line="259" w:lineRule="auto"/>
              <w:ind w:left="9" w:firstLine="0"/>
              <w:jc w:val="center"/>
            </w:pPr>
            <w:r>
              <w:rPr>
                <w:rFonts w:ascii="Calibri" w:eastAsia="Calibri" w:hAnsi="Calibri" w:cs="Calibri"/>
                <w:sz w:val="20"/>
              </w:rPr>
              <w:t xml:space="preserve">                  305.9</w:t>
            </w:r>
          </w:p>
        </w:tc>
      </w:tr>
    </w:tbl>
    <w:p w:rsidR="001C682A" w:rsidRDefault="00B03C38">
      <w:pPr>
        <w:spacing w:after="0" w:line="259" w:lineRule="auto"/>
        <w:ind w:left="1785" w:firstLine="0"/>
        <w:jc w:val="left"/>
      </w:pPr>
      <w:r>
        <w:rPr>
          <w:rFonts w:ascii="Franklin Gothic Book" w:eastAsia="Franklin Gothic Book" w:hAnsi="Franklin Gothic Book" w:cs="Franklin Gothic Book"/>
          <w:sz w:val="20"/>
        </w:rPr>
        <w:t xml:space="preserve"> </w:t>
      </w:r>
    </w:p>
    <w:p w:rsidR="001C682A" w:rsidRDefault="00B03C38">
      <w:pPr>
        <w:spacing w:after="0" w:line="259" w:lineRule="auto"/>
        <w:ind w:left="1915"/>
        <w:jc w:val="left"/>
      </w:pPr>
      <w:r>
        <w:rPr>
          <w:rFonts w:ascii="Century Gothic" w:eastAsia="Century Gothic" w:hAnsi="Century Gothic" w:cs="Century Gothic"/>
          <w:sz w:val="15"/>
        </w:rPr>
        <w:t xml:space="preserve">* This excludes Incremental production for repayment of cash call arrears. </w:t>
      </w:r>
    </w:p>
    <w:p w:rsidR="001C682A" w:rsidRDefault="00B03C38">
      <w:pPr>
        <w:spacing w:after="0" w:line="259" w:lineRule="auto"/>
        <w:ind w:left="1915"/>
        <w:jc w:val="left"/>
      </w:pPr>
      <w:r>
        <w:rPr>
          <w:rFonts w:ascii="Century Gothic" w:eastAsia="Century Gothic" w:hAnsi="Century Gothic" w:cs="Century Gothic"/>
          <w:sz w:val="15"/>
        </w:rPr>
        <w:t xml:space="preserve">** This represents inflation rate as at December 2019. </w:t>
      </w:r>
    </w:p>
    <w:p w:rsidR="001C682A" w:rsidRDefault="00B03C38">
      <w:pPr>
        <w:spacing w:after="0" w:line="259" w:lineRule="auto"/>
        <w:ind w:left="1920" w:firstLine="0"/>
        <w:jc w:val="left"/>
      </w:pPr>
      <w:r>
        <w:rPr>
          <w:rFonts w:ascii="Century Gothic" w:eastAsia="Century Gothic" w:hAnsi="Century Gothic" w:cs="Century Gothic"/>
          <w:i/>
          <w:sz w:val="15"/>
        </w:rPr>
        <w:t>Source: BOF, NBS, CBN, NNPC, OPEC</w:t>
      </w:r>
      <w:r>
        <w:rPr>
          <w:rFonts w:ascii="Century Gothic" w:eastAsia="Century Gothic" w:hAnsi="Century Gothic" w:cs="Century Gothic"/>
          <w:sz w:val="15"/>
        </w:rPr>
        <w:t xml:space="preserve"> </w:t>
      </w:r>
    </w:p>
    <w:p w:rsidR="001C682A" w:rsidRDefault="00B03C38">
      <w:pPr>
        <w:pStyle w:val="Heading3"/>
        <w:tabs>
          <w:tab w:val="center" w:pos="415"/>
          <w:tab w:val="center" w:pos="2122"/>
        </w:tabs>
        <w:spacing w:after="0" w:line="259" w:lineRule="auto"/>
        <w:ind w:left="0" w:firstLine="0"/>
      </w:pPr>
      <w:bookmarkStart w:id="17" w:name="_Toc389380"/>
      <w:bookmarkEnd w:id="16"/>
      <w:r>
        <w:rPr>
          <w:rFonts w:ascii="Calibri" w:eastAsia="Calibri" w:hAnsi="Calibri" w:cs="Calibri"/>
          <w:color w:val="000000"/>
          <w:sz w:val="22"/>
        </w:rPr>
        <w:lastRenderedPageBreak/>
        <w:tab/>
      </w:r>
      <w:r>
        <w:rPr>
          <w:b/>
        </w:rPr>
        <w:t xml:space="preserve">3.1 </w:t>
      </w:r>
      <w:r>
        <w:rPr>
          <w:b/>
        </w:rPr>
        <w:tab/>
        <w:t xml:space="preserve">Revenue Outturns </w:t>
      </w:r>
      <w:bookmarkEnd w:id="17"/>
    </w:p>
    <w:p w:rsidR="001C682A" w:rsidRDefault="00B03C38">
      <w:pPr>
        <w:spacing w:after="188"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25667" name="Group 325667"/>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739" name="Shape 395739"/>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25667" style="width:453.91pt;height:0.47998pt;mso-position-horizontal-relative:char;mso-position-vertical-relative:line" coordsize="57646,60">
                <v:shape id="Shape 395740"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pStyle w:val="Heading5"/>
        <w:spacing w:after="0" w:line="259" w:lineRule="auto"/>
        <w:ind w:left="213"/>
      </w:pPr>
      <w:bookmarkStart w:id="18" w:name="_Toc389381"/>
      <w:r>
        <w:rPr>
          <w:rFonts w:ascii="Arial" w:eastAsia="Arial" w:hAnsi="Arial" w:cs="Arial"/>
          <w:i/>
          <w:color w:val="2F5496"/>
          <w:sz w:val="26"/>
        </w:rPr>
        <w:t xml:space="preserve">3.1.1 Oil Revenue </w:t>
      </w:r>
      <w:bookmarkEnd w:id="18"/>
    </w:p>
    <w:p w:rsidR="001C682A" w:rsidRDefault="00B03C38">
      <w:pPr>
        <w:ind w:left="236" w:right="816"/>
      </w:pPr>
      <w:r>
        <w:t xml:space="preserve">Gross oil and gas budget revenue was projected at N9.33 trillion for FY2019, but only N4.60 trillion was realized. This represents 49.4% performance. After deductions (including 13% derivation), net oil and gas revenue inflows to the Federation Account amounted to N2.831 trillion. This represents a shortfall of N4.77 trillion (or 62.8% of the budget). Lower than projected oil production, high production cost, as well as higher costs incurred by NNPC on federally-funded projects, were largely responsible for the shortfall. </w:t>
      </w:r>
    </w:p>
    <w:p w:rsidR="001C682A" w:rsidRDefault="00B03C38">
      <w:pPr>
        <w:spacing w:after="100" w:line="259" w:lineRule="auto"/>
        <w:ind w:left="218" w:firstLine="0"/>
        <w:jc w:val="left"/>
      </w:pPr>
      <w:r>
        <w:t xml:space="preserve"> </w:t>
      </w:r>
    </w:p>
    <w:p w:rsidR="001C682A" w:rsidRDefault="00B03C38">
      <w:pPr>
        <w:spacing w:after="146" w:line="259" w:lineRule="auto"/>
        <w:ind w:left="213"/>
        <w:jc w:val="left"/>
      </w:pPr>
      <w:bookmarkStart w:id="19" w:name="_Hlk49580385"/>
      <w:bookmarkStart w:id="20" w:name="_Hlk50339989"/>
      <w:r>
        <w:rPr>
          <w:rFonts w:ascii="Franklin Gothic Book" w:eastAsia="Franklin Gothic Book" w:hAnsi="Franklin Gothic Book" w:cs="Franklin Gothic Book"/>
          <w:sz w:val="20"/>
        </w:rPr>
        <w:t xml:space="preserve">Table 3.2 Revenue Performance (Jan–Dec) 2019 </w:t>
      </w:r>
    </w:p>
    <w:p w:rsidR="001C682A" w:rsidRDefault="00DB5104">
      <w:pPr>
        <w:pStyle w:val="Heading5"/>
        <w:spacing w:after="7" w:line="253" w:lineRule="auto"/>
        <w:ind w:left="236" w:right="818"/>
        <w:jc w:val="right"/>
      </w:pPr>
      <w:bookmarkStart w:id="21" w:name="_Toc389382"/>
      <w:bookmarkEnd w:id="19"/>
      <w:r>
        <w:rPr>
          <w:noProof/>
        </w:rPr>
        <w:drawing>
          <wp:anchor distT="0" distB="0" distL="114300" distR="114300" simplePos="0" relativeHeight="251666432" behindDoc="0" locked="0" layoutInCell="1" allowOverlap="0">
            <wp:simplePos x="0" y="0"/>
            <wp:positionH relativeFrom="column">
              <wp:posOffset>28938</wp:posOffset>
            </wp:positionH>
            <wp:positionV relativeFrom="paragraph">
              <wp:posOffset>7439</wp:posOffset>
            </wp:positionV>
            <wp:extent cx="3676015" cy="3137535"/>
            <wp:effectExtent l="0" t="0" r="0" b="0"/>
            <wp:wrapSquare wrapText="bothSides"/>
            <wp:docPr id="10026" name="Picture 10026"/>
            <wp:cNvGraphicFramePr/>
            <a:graphic xmlns:a="http://schemas.openxmlformats.org/drawingml/2006/main">
              <a:graphicData uri="http://schemas.openxmlformats.org/drawingml/2006/picture">
                <pic:pic xmlns:pic="http://schemas.openxmlformats.org/drawingml/2006/picture">
                  <pic:nvPicPr>
                    <pic:cNvPr id="10026" name="Picture 10026"/>
                    <pic:cNvPicPr/>
                  </pic:nvPicPr>
                  <pic:blipFill>
                    <a:blip r:embed="rId26"/>
                    <a:stretch>
                      <a:fillRect/>
                    </a:stretch>
                  </pic:blipFill>
                  <pic:spPr>
                    <a:xfrm>
                      <a:off x="0" y="0"/>
                      <a:ext cx="3676015" cy="3137535"/>
                    </a:xfrm>
                    <a:prstGeom prst="rect">
                      <a:avLst/>
                    </a:prstGeom>
                  </pic:spPr>
                </pic:pic>
              </a:graphicData>
            </a:graphic>
          </wp:anchor>
        </w:drawing>
      </w:r>
      <w:r w:rsidR="00B03C38">
        <w:rPr>
          <w:rFonts w:ascii="Arial" w:eastAsia="Arial" w:hAnsi="Arial" w:cs="Arial"/>
          <w:i/>
          <w:color w:val="2F5496"/>
          <w:sz w:val="24"/>
        </w:rPr>
        <w:t>3.</w:t>
      </w:r>
      <w:bookmarkEnd w:id="20"/>
      <w:r w:rsidR="00B03C38">
        <w:rPr>
          <w:rFonts w:ascii="Arial" w:eastAsia="Arial" w:hAnsi="Arial" w:cs="Arial"/>
          <w:i/>
          <w:color w:val="2F5496"/>
          <w:sz w:val="24"/>
        </w:rPr>
        <w:t>1.2 Non-Oil Revenue</w:t>
      </w:r>
      <w:r w:rsidR="00B03C38">
        <w:rPr>
          <w:rFonts w:ascii="Arial" w:eastAsia="Arial" w:hAnsi="Arial" w:cs="Arial"/>
          <w:i/>
          <w:color w:val="2F5496"/>
          <w:sz w:val="22"/>
        </w:rPr>
        <w:t xml:space="preserve">  </w:t>
      </w:r>
      <w:bookmarkEnd w:id="21"/>
    </w:p>
    <w:p w:rsidR="001C682A" w:rsidRDefault="00B03C38">
      <w:pPr>
        <w:spacing w:after="7" w:line="253" w:lineRule="auto"/>
        <w:ind w:left="236" w:right="818"/>
        <w:jc w:val="right"/>
      </w:pPr>
      <w:r>
        <w:t xml:space="preserve">N3.83 trillion was generated as non-oil revenues as against N4.35 trillion projected. This implies a collection performance of 88.1%. Of this, Corporate Tax and VAT collections were N1.52 trillion </w:t>
      </w:r>
      <w:r>
        <w:tab/>
        <w:t xml:space="preserve">and </w:t>
      </w:r>
      <w:r>
        <w:tab/>
        <w:t xml:space="preserve">N1.19 </w:t>
      </w:r>
      <w:r>
        <w:tab/>
        <w:t xml:space="preserve">trillion, representing 86.2% and 69.7% collection </w:t>
      </w:r>
      <w:r>
        <w:tab/>
        <w:t xml:space="preserve">performance respectively. Customs collection was N842.46 billion or 3.7% more than the target. </w:t>
      </w:r>
    </w:p>
    <w:p w:rsidR="001C682A" w:rsidRDefault="00B03C38">
      <w:pPr>
        <w:spacing w:after="7" w:line="259" w:lineRule="auto"/>
        <w:ind w:left="218" w:firstLine="0"/>
        <w:jc w:val="center"/>
      </w:pPr>
      <w:r>
        <w:rPr>
          <w:sz w:val="11"/>
        </w:rPr>
        <w:t xml:space="preserve"> </w:t>
      </w:r>
    </w:p>
    <w:p w:rsidR="001C682A" w:rsidRDefault="00B03C38">
      <w:pPr>
        <w:spacing w:after="9" w:line="259" w:lineRule="auto"/>
        <w:ind w:left="218" w:firstLine="0"/>
        <w:jc w:val="center"/>
      </w:pPr>
      <w:r>
        <w:rPr>
          <w:sz w:val="11"/>
        </w:rPr>
        <w:t xml:space="preserve"> </w:t>
      </w:r>
    </w:p>
    <w:p w:rsidR="001C682A" w:rsidRDefault="00B03C38">
      <w:pPr>
        <w:spacing w:after="7" w:line="259" w:lineRule="auto"/>
        <w:ind w:left="218" w:firstLine="0"/>
        <w:jc w:val="center"/>
      </w:pPr>
      <w:r>
        <w:rPr>
          <w:sz w:val="11"/>
        </w:rPr>
        <w:t xml:space="preserve"> </w:t>
      </w:r>
    </w:p>
    <w:p w:rsidR="001C682A" w:rsidRDefault="00B03C38">
      <w:pPr>
        <w:spacing w:after="9" w:line="259" w:lineRule="auto"/>
        <w:ind w:left="218" w:firstLine="0"/>
        <w:jc w:val="center"/>
      </w:pPr>
      <w:r>
        <w:rPr>
          <w:sz w:val="11"/>
        </w:rPr>
        <w:t xml:space="preserve"> </w:t>
      </w:r>
    </w:p>
    <w:p w:rsidR="001C682A" w:rsidRDefault="00B03C38">
      <w:pPr>
        <w:spacing w:after="9" w:line="259" w:lineRule="auto"/>
        <w:ind w:left="218" w:firstLine="0"/>
        <w:jc w:val="center"/>
      </w:pPr>
      <w:r>
        <w:rPr>
          <w:sz w:val="11"/>
        </w:rPr>
        <w:t xml:space="preserve"> </w:t>
      </w:r>
    </w:p>
    <w:p w:rsidR="001C682A" w:rsidRDefault="00B03C38">
      <w:pPr>
        <w:spacing w:after="7" w:line="259" w:lineRule="auto"/>
        <w:ind w:left="218" w:firstLine="0"/>
        <w:jc w:val="center"/>
      </w:pPr>
      <w:r>
        <w:rPr>
          <w:sz w:val="11"/>
        </w:rPr>
        <w:t xml:space="preserve"> </w:t>
      </w:r>
    </w:p>
    <w:p w:rsidR="001C682A" w:rsidRDefault="00B03C38">
      <w:pPr>
        <w:spacing w:after="57" w:line="259" w:lineRule="auto"/>
        <w:ind w:left="218" w:firstLine="0"/>
        <w:jc w:val="center"/>
      </w:pPr>
      <w:r>
        <w:rPr>
          <w:sz w:val="11"/>
        </w:rPr>
        <w:t xml:space="preserve"> </w:t>
      </w:r>
    </w:p>
    <w:p w:rsidR="001C682A" w:rsidRDefault="00B03C38">
      <w:pPr>
        <w:spacing w:after="0" w:line="259" w:lineRule="auto"/>
        <w:ind w:left="218" w:firstLine="0"/>
        <w:jc w:val="center"/>
      </w:pPr>
      <w:r>
        <w:rPr>
          <w:i/>
          <w:sz w:val="16"/>
        </w:rPr>
        <w:t xml:space="preserve"> </w:t>
      </w:r>
    </w:p>
    <w:p w:rsidR="001C682A" w:rsidRDefault="00B03C38">
      <w:pPr>
        <w:spacing w:after="0" w:line="259" w:lineRule="auto"/>
        <w:ind w:left="218" w:firstLine="0"/>
        <w:jc w:val="center"/>
      </w:pPr>
      <w:r>
        <w:rPr>
          <w:i/>
          <w:sz w:val="16"/>
        </w:rPr>
        <w:t xml:space="preserve"> </w:t>
      </w:r>
    </w:p>
    <w:p w:rsidR="001C682A" w:rsidRDefault="00B03C38">
      <w:pPr>
        <w:spacing w:after="0" w:line="259" w:lineRule="auto"/>
        <w:ind w:left="2114" w:firstLine="0"/>
        <w:jc w:val="center"/>
      </w:pPr>
      <w:r>
        <w:rPr>
          <w:i/>
          <w:sz w:val="16"/>
        </w:rPr>
        <w:t xml:space="preserve"> </w:t>
      </w:r>
    </w:p>
    <w:p w:rsidR="001C682A" w:rsidRDefault="00B03C38">
      <w:pPr>
        <w:spacing w:after="0" w:line="259" w:lineRule="auto"/>
        <w:ind w:left="218" w:firstLine="0"/>
        <w:jc w:val="left"/>
      </w:pPr>
      <w:r>
        <w:rPr>
          <w:i/>
          <w:sz w:val="16"/>
        </w:rPr>
        <w:t>Source:</w:t>
      </w:r>
      <w:r>
        <w:rPr>
          <w:sz w:val="16"/>
        </w:rPr>
        <w:t xml:space="preserve"> BOF, OAGF, PRMRC </w:t>
      </w:r>
    </w:p>
    <w:p w:rsidR="001C682A" w:rsidRDefault="00B03C38">
      <w:pPr>
        <w:spacing w:after="348" w:line="259" w:lineRule="auto"/>
        <w:ind w:left="218" w:firstLine="0"/>
        <w:jc w:val="left"/>
      </w:pPr>
      <w:r>
        <w:rPr>
          <w:sz w:val="16"/>
        </w:rPr>
        <w:t xml:space="preserve"> </w:t>
      </w:r>
    </w:p>
    <w:p w:rsidR="001C682A" w:rsidRDefault="00B03C38">
      <w:pPr>
        <w:pStyle w:val="Heading5"/>
        <w:spacing w:after="0" w:line="259" w:lineRule="auto"/>
        <w:ind w:left="213"/>
      </w:pPr>
      <w:bookmarkStart w:id="22" w:name="_Toc389383"/>
      <w:r>
        <w:rPr>
          <w:rFonts w:ascii="Arial" w:eastAsia="Arial" w:hAnsi="Arial" w:cs="Arial"/>
          <w:i/>
          <w:color w:val="2F5496"/>
          <w:sz w:val="26"/>
        </w:rPr>
        <w:t xml:space="preserve">3.1.3 Main Federation Account Pool and VAT Pool Accounts Distributable </w:t>
      </w:r>
      <w:bookmarkEnd w:id="22"/>
    </w:p>
    <w:p w:rsidR="002010BA" w:rsidRDefault="002010BA">
      <w:pPr>
        <w:spacing w:after="207" w:line="259" w:lineRule="auto"/>
        <w:ind w:right="819"/>
        <w:jc w:val="right"/>
        <w:rPr>
          <w:rFonts w:ascii="Franklin Gothic Book" w:eastAsia="Franklin Gothic Book" w:hAnsi="Franklin Gothic Book" w:cs="Franklin Gothic Book"/>
          <w:sz w:val="20"/>
        </w:rPr>
      </w:pPr>
    </w:p>
    <w:p w:rsidR="002010BA" w:rsidRDefault="002010BA">
      <w:pPr>
        <w:spacing w:after="207" w:line="259" w:lineRule="auto"/>
        <w:ind w:right="819"/>
        <w:jc w:val="right"/>
        <w:rPr>
          <w:rFonts w:ascii="Franklin Gothic Book" w:eastAsia="Franklin Gothic Book" w:hAnsi="Franklin Gothic Book" w:cs="Franklin Gothic Book"/>
          <w:sz w:val="20"/>
        </w:rPr>
      </w:pPr>
    </w:p>
    <w:p w:rsidR="002010BA" w:rsidRDefault="002010BA">
      <w:pPr>
        <w:spacing w:after="207" w:line="259" w:lineRule="auto"/>
        <w:ind w:right="819"/>
        <w:jc w:val="right"/>
        <w:rPr>
          <w:rFonts w:ascii="Franklin Gothic Book" w:eastAsia="Franklin Gothic Book" w:hAnsi="Franklin Gothic Book" w:cs="Franklin Gothic Book"/>
          <w:sz w:val="20"/>
        </w:rPr>
      </w:pPr>
    </w:p>
    <w:p w:rsidR="002010BA" w:rsidRDefault="002010BA">
      <w:pPr>
        <w:spacing w:after="207" w:line="259" w:lineRule="auto"/>
        <w:ind w:right="819"/>
        <w:jc w:val="right"/>
        <w:rPr>
          <w:rFonts w:ascii="Franklin Gothic Book" w:eastAsia="Franklin Gothic Book" w:hAnsi="Franklin Gothic Book" w:cs="Franklin Gothic Book"/>
          <w:sz w:val="20"/>
        </w:rPr>
      </w:pPr>
    </w:p>
    <w:p w:rsidR="002010BA" w:rsidRDefault="002010BA">
      <w:pPr>
        <w:spacing w:after="207" w:line="259" w:lineRule="auto"/>
        <w:ind w:right="819"/>
        <w:jc w:val="right"/>
        <w:rPr>
          <w:rFonts w:ascii="Franklin Gothic Book" w:eastAsia="Franklin Gothic Book" w:hAnsi="Franklin Gothic Book" w:cs="Franklin Gothic Book"/>
          <w:sz w:val="20"/>
        </w:rPr>
      </w:pPr>
    </w:p>
    <w:p w:rsidR="002010BA" w:rsidRDefault="002010BA">
      <w:pPr>
        <w:spacing w:after="207" w:line="259" w:lineRule="auto"/>
        <w:ind w:right="819"/>
        <w:jc w:val="right"/>
        <w:rPr>
          <w:rFonts w:ascii="Franklin Gothic Book" w:eastAsia="Franklin Gothic Book" w:hAnsi="Franklin Gothic Book" w:cs="Franklin Gothic Book"/>
          <w:sz w:val="20"/>
        </w:rPr>
      </w:pPr>
    </w:p>
    <w:p w:rsidR="002010BA" w:rsidRDefault="002010BA">
      <w:pPr>
        <w:spacing w:after="207" w:line="259" w:lineRule="auto"/>
        <w:ind w:right="819"/>
        <w:jc w:val="right"/>
        <w:rPr>
          <w:rFonts w:ascii="Franklin Gothic Book" w:eastAsia="Franklin Gothic Book" w:hAnsi="Franklin Gothic Book" w:cs="Franklin Gothic Book"/>
          <w:sz w:val="20"/>
        </w:rPr>
      </w:pPr>
    </w:p>
    <w:p w:rsidR="001C682A" w:rsidRDefault="00B03C38">
      <w:pPr>
        <w:spacing w:after="207" w:line="259" w:lineRule="auto"/>
        <w:ind w:right="819"/>
        <w:jc w:val="right"/>
      </w:pPr>
      <w:bookmarkStart w:id="23" w:name="_Hlk50340727"/>
      <w:r>
        <w:rPr>
          <w:rFonts w:ascii="Franklin Gothic Book" w:eastAsia="Franklin Gothic Book" w:hAnsi="Franklin Gothic Book" w:cs="Franklin Gothic Book"/>
          <w:sz w:val="20"/>
        </w:rPr>
        <w:t>Table 3.3 Federation Account Revenue and VAT Distributable, 2019 (</w:t>
      </w:r>
      <w:proofErr w:type="spellStart"/>
      <w:r>
        <w:rPr>
          <w:rFonts w:ascii="Franklin Gothic Book" w:eastAsia="Franklin Gothic Book" w:hAnsi="Franklin Gothic Book" w:cs="Franklin Gothic Book"/>
          <w:sz w:val="20"/>
        </w:rPr>
        <w:t>N’Billion</w:t>
      </w:r>
      <w:proofErr w:type="spellEnd"/>
      <w:r>
        <w:rPr>
          <w:rFonts w:ascii="Franklin Gothic Book" w:eastAsia="Franklin Gothic Book" w:hAnsi="Franklin Gothic Book" w:cs="Franklin Gothic Book"/>
          <w:sz w:val="20"/>
        </w:rPr>
        <w:t>)</w:t>
      </w:r>
      <w:bookmarkEnd w:id="23"/>
      <w:r>
        <w:rPr>
          <w:rFonts w:ascii="Franklin Gothic Book" w:eastAsia="Franklin Gothic Book" w:hAnsi="Franklin Gothic Book" w:cs="Franklin Gothic Book"/>
          <w:sz w:val="20"/>
        </w:rPr>
        <w:t xml:space="preserve"> </w:t>
      </w:r>
    </w:p>
    <w:tbl>
      <w:tblPr>
        <w:tblStyle w:val="TableGrid"/>
        <w:tblpPr w:vertAnchor="text" w:tblpX="4157" w:tblpY="-17"/>
        <w:tblOverlap w:val="never"/>
        <w:tblW w:w="5038" w:type="dxa"/>
        <w:tblInd w:w="0" w:type="dxa"/>
        <w:tblCellMar>
          <w:top w:w="17" w:type="dxa"/>
          <w:left w:w="26" w:type="dxa"/>
          <w:right w:w="21" w:type="dxa"/>
        </w:tblCellMar>
        <w:tblLook w:val="04A0" w:firstRow="1" w:lastRow="0" w:firstColumn="1" w:lastColumn="0" w:noHBand="0" w:noVBand="1"/>
      </w:tblPr>
      <w:tblGrid>
        <w:gridCol w:w="284"/>
        <w:gridCol w:w="1790"/>
        <w:gridCol w:w="855"/>
        <w:gridCol w:w="723"/>
        <w:gridCol w:w="753"/>
        <w:gridCol w:w="633"/>
      </w:tblGrid>
      <w:tr w:rsidR="001C682A">
        <w:trPr>
          <w:trHeight w:val="538"/>
        </w:trPr>
        <w:tc>
          <w:tcPr>
            <w:tcW w:w="284" w:type="dxa"/>
            <w:tcBorders>
              <w:top w:val="single" w:sz="4" w:space="0" w:color="000000"/>
              <w:left w:val="single" w:sz="4" w:space="0" w:color="000000"/>
              <w:bottom w:val="single" w:sz="5" w:space="0" w:color="000000"/>
              <w:right w:val="single" w:sz="4" w:space="0" w:color="000000"/>
            </w:tcBorders>
            <w:shd w:val="clear" w:color="auto" w:fill="AEAAAA"/>
          </w:tcPr>
          <w:p w:rsidR="001C682A" w:rsidRDefault="001C682A">
            <w:pPr>
              <w:spacing w:after="160" w:line="259" w:lineRule="auto"/>
              <w:ind w:left="0" w:firstLine="0"/>
              <w:jc w:val="left"/>
            </w:pPr>
            <w:bookmarkStart w:id="24" w:name="_Hlk49581811"/>
          </w:p>
        </w:tc>
        <w:tc>
          <w:tcPr>
            <w:tcW w:w="1791" w:type="dxa"/>
            <w:vMerge w:val="restart"/>
            <w:tcBorders>
              <w:top w:val="single" w:sz="4" w:space="0" w:color="000000"/>
              <w:left w:val="single" w:sz="4" w:space="0" w:color="000000"/>
              <w:bottom w:val="single" w:sz="4" w:space="0" w:color="000000"/>
              <w:right w:val="single" w:sz="4" w:space="0" w:color="000000"/>
            </w:tcBorders>
            <w:shd w:val="clear" w:color="auto" w:fill="AEAAAA"/>
            <w:vAlign w:val="center"/>
          </w:tcPr>
          <w:p w:rsidR="001C682A" w:rsidRDefault="00B03C38">
            <w:pPr>
              <w:spacing w:after="0" w:line="259" w:lineRule="auto"/>
              <w:ind w:left="0" w:right="4" w:firstLine="0"/>
              <w:jc w:val="center"/>
            </w:pPr>
            <w:r>
              <w:rPr>
                <w:b/>
                <w:sz w:val="12"/>
              </w:rPr>
              <w:t>Fiscal Items</w:t>
            </w:r>
          </w:p>
        </w:tc>
        <w:tc>
          <w:tcPr>
            <w:tcW w:w="855" w:type="dxa"/>
            <w:tcBorders>
              <w:top w:val="single" w:sz="4" w:space="0" w:color="000000"/>
              <w:left w:val="single" w:sz="4" w:space="0" w:color="000000"/>
              <w:bottom w:val="single" w:sz="5" w:space="0" w:color="000000"/>
              <w:right w:val="single" w:sz="4" w:space="0" w:color="000000"/>
            </w:tcBorders>
            <w:shd w:val="clear" w:color="auto" w:fill="AEAAAA"/>
          </w:tcPr>
          <w:p w:rsidR="001C682A" w:rsidRDefault="00B03C38">
            <w:pPr>
              <w:spacing w:after="12" w:line="259" w:lineRule="auto"/>
              <w:ind w:left="0" w:right="18" w:firstLine="0"/>
              <w:jc w:val="center"/>
            </w:pPr>
            <w:r>
              <w:rPr>
                <w:b/>
                <w:sz w:val="13"/>
              </w:rPr>
              <w:t xml:space="preserve">2019 </w:t>
            </w:r>
          </w:p>
          <w:p w:rsidR="001C682A" w:rsidRDefault="00B03C38">
            <w:pPr>
              <w:spacing w:after="11" w:line="259" w:lineRule="auto"/>
              <w:ind w:left="0" w:right="10" w:firstLine="0"/>
              <w:jc w:val="center"/>
            </w:pPr>
            <w:r>
              <w:rPr>
                <w:b/>
                <w:sz w:val="13"/>
              </w:rPr>
              <w:t xml:space="preserve">Approved </w:t>
            </w:r>
          </w:p>
          <w:p w:rsidR="001C682A" w:rsidRDefault="00B03C38">
            <w:pPr>
              <w:spacing w:after="0" w:line="259" w:lineRule="auto"/>
              <w:ind w:left="0" w:right="5" w:firstLine="0"/>
              <w:jc w:val="center"/>
            </w:pPr>
            <w:r>
              <w:rPr>
                <w:b/>
                <w:sz w:val="13"/>
              </w:rPr>
              <w:t>Budget</w:t>
            </w:r>
          </w:p>
        </w:tc>
        <w:tc>
          <w:tcPr>
            <w:tcW w:w="723" w:type="dxa"/>
            <w:tcBorders>
              <w:top w:val="single" w:sz="4" w:space="0" w:color="000000"/>
              <w:left w:val="single" w:sz="4" w:space="0" w:color="000000"/>
              <w:bottom w:val="single" w:sz="5" w:space="0" w:color="000000"/>
              <w:right w:val="single" w:sz="4" w:space="0" w:color="000000"/>
            </w:tcBorders>
            <w:shd w:val="clear" w:color="auto" w:fill="AEAAAA"/>
            <w:vAlign w:val="center"/>
          </w:tcPr>
          <w:p w:rsidR="001C682A" w:rsidRDefault="00B03C38">
            <w:pPr>
              <w:spacing w:after="0" w:line="259" w:lineRule="auto"/>
              <w:ind w:left="0" w:firstLine="0"/>
              <w:jc w:val="center"/>
            </w:pPr>
            <w:r>
              <w:rPr>
                <w:b/>
                <w:sz w:val="13"/>
              </w:rPr>
              <w:t>Actuals (Jan-Dec)</w:t>
            </w:r>
          </w:p>
        </w:tc>
        <w:tc>
          <w:tcPr>
            <w:tcW w:w="1386" w:type="dxa"/>
            <w:gridSpan w:val="2"/>
            <w:tcBorders>
              <w:top w:val="single" w:sz="4" w:space="0" w:color="000000"/>
              <w:left w:val="single" w:sz="4" w:space="0" w:color="000000"/>
              <w:bottom w:val="single" w:sz="5" w:space="0" w:color="000000"/>
              <w:right w:val="single" w:sz="4" w:space="0" w:color="000000"/>
            </w:tcBorders>
            <w:shd w:val="clear" w:color="auto" w:fill="AEAAAA"/>
            <w:vAlign w:val="center"/>
          </w:tcPr>
          <w:p w:rsidR="001C682A" w:rsidRDefault="00B03C38">
            <w:pPr>
              <w:spacing w:after="0" w:line="259" w:lineRule="auto"/>
              <w:ind w:left="0" w:right="8" w:firstLine="0"/>
              <w:jc w:val="center"/>
            </w:pPr>
            <w:r>
              <w:rPr>
                <w:b/>
                <w:sz w:val="13"/>
              </w:rPr>
              <w:t>Variance</w:t>
            </w:r>
          </w:p>
        </w:tc>
      </w:tr>
      <w:tr w:rsidR="001C682A">
        <w:trPr>
          <w:trHeight w:val="188"/>
        </w:trPr>
        <w:tc>
          <w:tcPr>
            <w:tcW w:w="284" w:type="dxa"/>
            <w:tcBorders>
              <w:top w:val="single" w:sz="5" w:space="0" w:color="000000"/>
              <w:left w:val="single" w:sz="4" w:space="0" w:color="000000"/>
              <w:bottom w:val="single" w:sz="9" w:space="0" w:color="000000"/>
              <w:right w:val="single" w:sz="4" w:space="0" w:color="000000"/>
            </w:tcBorders>
            <w:shd w:val="clear" w:color="auto" w:fill="AEAAAA"/>
          </w:tcPr>
          <w:p w:rsidR="001C682A" w:rsidRDefault="001C682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1578" w:type="dxa"/>
            <w:gridSpan w:val="2"/>
            <w:tcBorders>
              <w:top w:val="single" w:sz="5" w:space="0" w:color="000000"/>
              <w:left w:val="single" w:sz="4" w:space="0" w:color="000000"/>
              <w:bottom w:val="single" w:sz="4" w:space="0" w:color="000000"/>
              <w:right w:val="single" w:sz="4" w:space="0" w:color="000000"/>
            </w:tcBorders>
            <w:shd w:val="clear" w:color="auto" w:fill="AEAAAA"/>
          </w:tcPr>
          <w:p w:rsidR="001C682A" w:rsidRDefault="00B03C38">
            <w:pPr>
              <w:spacing w:after="0" w:line="259" w:lineRule="auto"/>
              <w:ind w:left="0" w:right="8" w:firstLine="0"/>
              <w:jc w:val="center"/>
            </w:pPr>
            <w:r>
              <w:rPr>
                <w:b/>
                <w:sz w:val="13"/>
              </w:rPr>
              <w:t>Billions of Naira</w:t>
            </w:r>
          </w:p>
        </w:tc>
        <w:tc>
          <w:tcPr>
            <w:tcW w:w="753" w:type="dxa"/>
            <w:tcBorders>
              <w:top w:val="single" w:sz="5" w:space="0" w:color="000000"/>
              <w:left w:val="single" w:sz="4" w:space="0" w:color="000000"/>
              <w:bottom w:val="single" w:sz="4" w:space="0" w:color="000000"/>
              <w:right w:val="single" w:sz="4" w:space="0" w:color="000000"/>
            </w:tcBorders>
            <w:shd w:val="clear" w:color="auto" w:fill="AEAAAA"/>
          </w:tcPr>
          <w:p w:rsidR="001C682A" w:rsidRDefault="00B03C38">
            <w:pPr>
              <w:spacing w:after="0" w:line="259" w:lineRule="auto"/>
              <w:ind w:left="0" w:right="7" w:firstLine="0"/>
              <w:jc w:val="center"/>
            </w:pPr>
            <w:r>
              <w:rPr>
                <w:b/>
                <w:sz w:val="13"/>
              </w:rPr>
              <w:t>Naira</w:t>
            </w:r>
          </w:p>
        </w:tc>
        <w:tc>
          <w:tcPr>
            <w:tcW w:w="632" w:type="dxa"/>
            <w:tcBorders>
              <w:top w:val="single" w:sz="5" w:space="0" w:color="000000"/>
              <w:left w:val="single" w:sz="4" w:space="0" w:color="000000"/>
              <w:bottom w:val="single" w:sz="4" w:space="0" w:color="000000"/>
              <w:right w:val="single" w:sz="4" w:space="0" w:color="000000"/>
            </w:tcBorders>
            <w:shd w:val="clear" w:color="auto" w:fill="AEAAAA"/>
          </w:tcPr>
          <w:p w:rsidR="001C682A" w:rsidRDefault="00B03C38">
            <w:pPr>
              <w:spacing w:after="0" w:line="259" w:lineRule="auto"/>
              <w:ind w:left="0" w:right="9" w:firstLine="0"/>
              <w:jc w:val="center"/>
            </w:pPr>
            <w:r>
              <w:rPr>
                <w:b/>
                <w:sz w:val="13"/>
              </w:rPr>
              <w:t>%</w:t>
            </w:r>
          </w:p>
        </w:tc>
      </w:tr>
      <w:tr w:rsidR="001C682A">
        <w:trPr>
          <w:trHeight w:val="341"/>
        </w:trPr>
        <w:tc>
          <w:tcPr>
            <w:tcW w:w="284" w:type="dxa"/>
            <w:tcBorders>
              <w:top w:val="single" w:sz="9" w:space="0" w:color="000000"/>
              <w:left w:val="single" w:sz="4" w:space="0" w:color="000000"/>
              <w:bottom w:val="single" w:sz="4" w:space="0" w:color="000000"/>
              <w:right w:val="single" w:sz="4" w:space="0" w:color="000000"/>
            </w:tcBorders>
          </w:tcPr>
          <w:p w:rsidR="001C682A" w:rsidRDefault="00B03C38">
            <w:pPr>
              <w:spacing w:after="0" w:line="259" w:lineRule="auto"/>
              <w:ind w:left="0" w:right="2" w:firstLine="0"/>
              <w:jc w:val="right"/>
            </w:pPr>
            <w:r>
              <w:rPr>
                <w:sz w:val="12"/>
              </w:rPr>
              <w:t>A</w:t>
            </w:r>
          </w:p>
        </w:tc>
        <w:tc>
          <w:tcPr>
            <w:tcW w:w="1791" w:type="dxa"/>
            <w:tcBorders>
              <w:top w:val="single" w:sz="4" w:space="0" w:color="000000"/>
              <w:left w:val="single" w:sz="4" w:space="0" w:color="000000"/>
              <w:bottom w:val="single" w:sz="4" w:space="0" w:color="000000"/>
              <w:right w:val="single" w:sz="4" w:space="0" w:color="000000"/>
            </w:tcBorders>
          </w:tcPr>
          <w:p w:rsidR="001C682A" w:rsidRDefault="00B03C38">
            <w:pPr>
              <w:spacing w:after="10" w:line="259" w:lineRule="auto"/>
              <w:ind w:left="0" w:firstLine="0"/>
              <w:jc w:val="left"/>
            </w:pPr>
            <w:r>
              <w:rPr>
                <w:b/>
                <w:sz w:val="14"/>
              </w:rPr>
              <w:t xml:space="preserve">Net Main Pool </w:t>
            </w:r>
          </w:p>
          <w:p w:rsidR="001C682A" w:rsidRDefault="00B03C38">
            <w:pPr>
              <w:spacing w:after="0" w:line="259" w:lineRule="auto"/>
              <w:ind w:left="0" w:firstLine="0"/>
              <w:jc w:val="left"/>
            </w:pPr>
            <w:r>
              <w:rPr>
                <w:b/>
                <w:sz w:val="14"/>
              </w:rPr>
              <w:t>Distributable*</w:t>
            </w:r>
          </w:p>
        </w:tc>
        <w:tc>
          <w:tcPr>
            <w:tcW w:w="85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2" w:firstLine="0"/>
              <w:jc w:val="right"/>
            </w:pPr>
            <w:r>
              <w:rPr>
                <w:b/>
                <w:sz w:val="14"/>
              </w:rPr>
              <w:t>10,139.46</w:t>
            </w:r>
          </w:p>
        </w:tc>
        <w:tc>
          <w:tcPr>
            <w:tcW w:w="723"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2" w:firstLine="0"/>
              <w:jc w:val="right"/>
            </w:pPr>
            <w:r>
              <w:rPr>
                <w:b/>
                <w:sz w:val="14"/>
              </w:rPr>
              <w:t>5,051.50</w:t>
            </w:r>
          </w:p>
        </w:tc>
        <w:tc>
          <w:tcPr>
            <w:tcW w:w="753"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 w:firstLine="0"/>
              <w:jc w:val="right"/>
            </w:pPr>
            <w:r>
              <w:rPr>
                <w:sz w:val="14"/>
              </w:rPr>
              <w:t>(5,087.96)</w:t>
            </w:r>
          </w:p>
        </w:tc>
        <w:tc>
          <w:tcPr>
            <w:tcW w:w="6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right"/>
            </w:pPr>
            <w:r>
              <w:rPr>
                <w:sz w:val="14"/>
              </w:rPr>
              <w:t>-50.2%</w:t>
            </w:r>
          </w:p>
        </w:tc>
      </w:tr>
      <w:tr w:rsidR="001C682A">
        <w:trPr>
          <w:trHeight w:val="191"/>
        </w:trPr>
        <w:tc>
          <w:tcPr>
            <w:tcW w:w="28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right"/>
            </w:pPr>
            <w:proofErr w:type="spellStart"/>
            <w:r>
              <w:rPr>
                <w:sz w:val="12"/>
              </w:rPr>
              <w:t>i</w:t>
            </w:r>
            <w:proofErr w:type="spellEnd"/>
          </w:p>
        </w:tc>
        <w:tc>
          <w:tcPr>
            <w:tcW w:w="1791"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rPr>
                <w:sz w:val="14"/>
              </w:rPr>
              <w:t>FGN's Share (52.68%)</w:t>
            </w:r>
          </w:p>
        </w:tc>
        <w:tc>
          <w:tcPr>
            <w:tcW w:w="85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2" w:firstLine="0"/>
              <w:jc w:val="right"/>
            </w:pPr>
            <w:r>
              <w:rPr>
                <w:sz w:val="14"/>
              </w:rPr>
              <w:t>5,341.47</w:t>
            </w:r>
          </w:p>
        </w:tc>
        <w:tc>
          <w:tcPr>
            <w:tcW w:w="723"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2" w:firstLine="0"/>
              <w:jc w:val="right"/>
            </w:pPr>
            <w:r>
              <w:rPr>
                <w:sz w:val="14"/>
              </w:rPr>
              <w:t>2,661.13</w:t>
            </w:r>
          </w:p>
        </w:tc>
        <w:tc>
          <w:tcPr>
            <w:tcW w:w="753"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 w:firstLine="0"/>
              <w:jc w:val="right"/>
            </w:pPr>
            <w:r>
              <w:rPr>
                <w:sz w:val="14"/>
              </w:rPr>
              <w:t>(2,680.33)</w:t>
            </w:r>
          </w:p>
        </w:tc>
        <w:tc>
          <w:tcPr>
            <w:tcW w:w="6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right"/>
            </w:pPr>
            <w:r>
              <w:rPr>
                <w:sz w:val="14"/>
              </w:rPr>
              <w:t>-50.2%</w:t>
            </w:r>
          </w:p>
        </w:tc>
      </w:tr>
      <w:tr w:rsidR="001C682A">
        <w:trPr>
          <w:trHeight w:val="191"/>
        </w:trPr>
        <w:tc>
          <w:tcPr>
            <w:tcW w:w="28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right"/>
            </w:pPr>
            <w:r>
              <w:rPr>
                <w:sz w:val="12"/>
              </w:rPr>
              <w:t>ii</w:t>
            </w:r>
          </w:p>
        </w:tc>
        <w:tc>
          <w:tcPr>
            <w:tcW w:w="1791"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rPr>
                <w:sz w:val="14"/>
              </w:rPr>
              <w:t>States' Share (26.72%)</w:t>
            </w:r>
          </w:p>
        </w:tc>
        <w:tc>
          <w:tcPr>
            <w:tcW w:w="85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2" w:firstLine="0"/>
              <w:jc w:val="right"/>
            </w:pPr>
            <w:r>
              <w:rPr>
                <w:sz w:val="14"/>
              </w:rPr>
              <w:t>2,709.26</w:t>
            </w:r>
          </w:p>
        </w:tc>
        <w:tc>
          <w:tcPr>
            <w:tcW w:w="723"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2" w:firstLine="0"/>
              <w:jc w:val="right"/>
            </w:pPr>
            <w:r>
              <w:rPr>
                <w:sz w:val="14"/>
              </w:rPr>
              <w:t>1,349.76</w:t>
            </w:r>
          </w:p>
        </w:tc>
        <w:tc>
          <w:tcPr>
            <w:tcW w:w="753"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 w:firstLine="0"/>
              <w:jc w:val="right"/>
            </w:pPr>
            <w:r>
              <w:rPr>
                <w:sz w:val="14"/>
              </w:rPr>
              <w:t>(1,359.50)</w:t>
            </w:r>
          </w:p>
        </w:tc>
        <w:tc>
          <w:tcPr>
            <w:tcW w:w="6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right"/>
            </w:pPr>
            <w:r>
              <w:rPr>
                <w:sz w:val="14"/>
              </w:rPr>
              <w:t>-50.2%</w:t>
            </w:r>
          </w:p>
        </w:tc>
      </w:tr>
      <w:tr w:rsidR="001C682A">
        <w:trPr>
          <w:trHeight w:val="201"/>
        </w:trPr>
        <w:tc>
          <w:tcPr>
            <w:tcW w:w="28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right"/>
            </w:pPr>
            <w:r>
              <w:rPr>
                <w:sz w:val="12"/>
              </w:rPr>
              <w:t>iii</w:t>
            </w:r>
          </w:p>
        </w:tc>
        <w:tc>
          <w:tcPr>
            <w:tcW w:w="1791"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pPr>
            <w:r>
              <w:rPr>
                <w:sz w:val="14"/>
              </w:rPr>
              <w:t>Local Govt.'s Share (20.60%)</w:t>
            </w:r>
          </w:p>
        </w:tc>
        <w:tc>
          <w:tcPr>
            <w:tcW w:w="85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2" w:firstLine="0"/>
              <w:jc w:val="right"/>
            </w:pPr>
            <w:r>
              <w:rPr>
                <w:sz w:val="14"/>
              </w:rPr>
              <w:t>2,088.73</w:t>
            </w:r>
          </w:p>
        </w:tc>
        <w:tc>
          <w:tcPr>
            <w:tcW w:w="723"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2" w:firstLine="0"/>
              <w:jc w:val="right"/>
            </w:pPr>
            <w:r>
              <w:rPr>
                <w:sz w:val="14"/>
              </w:rPr>
              <w:t>1,040.61</w:t>
            </w:r>
          </w:p>
        </w:tc>
        <w:tc>
          <w:tcPr>
            <w:tcW w:w="753"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 w:firstLine="0"/>
              <w:jc w:val="right"/>
            </w:pPr>
            <w:r>
              <w:rPr>
                <w:sz w:val="14"/>
              </w:rPr>
              <w:t>(1,048.12)</w:t>
            </w:r>
          </w:p>
        </w:tc>
        <w:tc>
          <w:tcPr>
            <w:tcW w:w="6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right"/>
            </w:pPr>
            <w:r>
              <w:rPr>
                <w:sz w:val="14"/>
              </w:rPr>
              <w:t>-50.2%</w:t>
            </w:r>
          </w:p>
        </w:tc>
      </w:tr>
      <w:tr w:rsidR="001C682A">
        <w:trPr>
          <w:trHeight w:val="180"/>
        </w:trPr>
        <w:tc>
          <w:tcPr>
            <w:tcW w:w="284" w:type="dxa"/>
            <w:tcBorders>
              <w:top w:val="single" w:sz="4"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1791" w:type="dxa"/>
            <w:tcBorders>
              <w:top w:val="single" w:sz="4"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855" w:type="dxa"/>
            <w:tcBorders>
              <w:top w:val="single" w:sz="4"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723" w:type="dxa"/>
            <w:tcBorders>
              <w:top w:val="single" w:sz="4"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753" w:type="dxa"/>
            <w:tcBorders>
              <w:top w:val="single" w:sz="4"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632" w:type="dxa"/>
            <w:tcBorders>
              <w:top w:val="single" w:sz="4"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r>
      <w:tr w:rsidR="001C682A">
        <w:trPr>
          <w:trHeight w:val="381"/>
        </w:trPr>
        <w:tc>
          <w:tcPr>
            <w:tcW w:w="28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2" w:firstLine="0"/>
              <w:jc w:val="right"/>
            </w:pPr>
            <w:r>
              <w:rPr>
                <w:sz w:val="12"/>
              </w:rPr>
              <w:t>B</w:t>
            </w:r>
          </w:p>
        </w:tc>
        <w:tc>
          <w:tcPr>
            <w:tcW w:w="1791" w:type="dxa"/>
            <w:tcBorders>
              <w:top w:val="single" w:sz="4" w:space="0" w:color="000000"/>
              <w:left w:val="single" w:sz="4" w:space="0" w:color="000000"/>
              <w:bottom w:val="single" w:sz="4" w:space="0" w:color="000000"/>
              <w:right w:val="single" w:sz="4" w:space="0" w:color="000000"/>
            </w:tcBorders>
          </w:tcPr>
          <w:p w:rsidR="001C682A" w:rsidRDefault="00B03C38">
            <w:pPr>
              <w:spacing w:after="9" w:line="259" w:lineRule="auto"/>
              <w:ind w:left="0" w:firstLine="0"/>
              <w:jc w:val="left"/>
            </w:pPr>
            <w:r>
              <w:rPr>
                <w:b/>
                <w:sz w:val="14"/>
              </w:rPr>
              <w:t xml:space="preserve">Net VAT Pool Account </w:t>
            </w:r>
          </w:p>
          <w:p w:rsidR="001C682A" w:rsidRDefault="00B03C38">
            <w:pPr>
              <w:spacing w:after="0" w:line="259" w:lineRule="auto"/>
              <w:ind w:left="0" w:firstLine="0"/>
              <w:jc w:val="left"/>
            </w:pPr>
            <w:r>
              <w:rPr>
                <w:b/>
                <w:sz w:val="14"/>
              </w:rPr>
              <w:t>Distributable</w:t>
            </w:r>
          </w:p>
        </w:tc>
        <w:tc>
          <w:tcPr>
            <w:tcW w:w="855" w:type="dxa"/>
            <w:tcBorders>
              <w:top w:val="single" w:sz="4" w:space="0" w:color="000000"/>
              <w:left w:val="single" w:sz="4" w:space="0" w:color="000000"/>
              <w:bottom w:val="single" w:sz="4" w:space="0" w:color="000000"/>
              <w:right w:val="single" w:sz="4" w:space="0" w:color="000000"/>
            </w:tcBorders>
            <w:vAlign w:val="center"/>
          </w:tcPr>
          <w:p w:rsidR="001C682A" w:rsidRDefault="00B03C38">
            <w:pPr>
              <w:spacing w:after="0" w:line="259" w:lineRule="auto"/>
              <w:ind w:left="0" w:right="2" w:firstLine="0"/>
              <w:jc w:val="right"/>
            </w:pPr>
            <w:r>
              <w:rPr>
                <w:b/>
                <w:sz w:val="14"/>
              </w:rPr>
              <w:t>1,638.14</w:t>
            </w:r>
          </w:p>
        </w:tc>
        <w:tc>
          <w:tcPr>
            <w:tcW w:w="723" w:type="dxa"/>
            <w:tcBorders>
              <w:top w:val="single" w:sz="4" w:space="0" w:color="000000"/>
              <w:left w:val="single" w:sz="4" w:space="0" w:color="000000"/>
              <w:bottom w:val="single" w:sz="4" w:space="0" w:color="000000"/>
              <w:right w:val="single" w:sz="4" w:space="0" w:color="000000"/>
            </w:tcBorders>
            <w:vAlign w:val="center"/>
          </w:tcPr>
          <w:p w:rsidR="001C682A" w:rsidRDefault="00B03C38">
            <w:pPr>
              <w:spacing w:after="0" w:line="259" w:lineRule="auto"/>
              <w:ind w:left="0" w:right="2" w:firstLine="0"/>
              <w:jc w:val="right"/>
            </w:pPr>
            <w:r>
              <w:rPr>
                <w:b/>
                <w:sz w:val="14"/>
              </w:rPr>
              <w:t>1,141.04</w:t>
            </w:r>
          </w:p>
        </w:tc>
        <w:tc>
          <w:tcPr>
            <w:tcW w:w="753" w:type="dxa"/>
            <w:tcBorders>
              <w:top w:val="single" w:sz="4" w:space="0" w:color="000000"/>
              <w:left w:val="single" w:sz="4" w:space="0" w:color="000000"/>
              <w:bottom w:val="single" w:sz="4" w:space="0" w:color="000000"/>
              <w:right w:val="single" w:sz="4" w:space="0" w:color="000000"/>
            </w:tcBorders>
            <w:vAlign w:val="center"/>
          </w:tcPr>
          <w:p w:rsidR="001C682A" w:rsidRDefault="00B03C38">
            <w:pPr>
              <w:spacing w:after="0" w:line="259" w:lineRule="auto"/>
              <w:ind w:left="0" w:right="1" w:firstLine="0"/>
              <w:jc w:val="right"/>
            </w:pPr>
            <w:r>
              <w:rPr>
                <w:sz w:val="14"/>
              </w:rPr>
              <w:t>(497.10)</w:t>
            </w:r>
          </w:p>
        </w:tc>
        <w:tc>
          <w:tcPr>
            <w:tcW w:w="632" w:type="dxa"/>
            <w:tcBorders>
              <w:top w:val="single" w:sz="4" w:space="0" w:color="000000"/>
              <w:left w:val="single" w:sz="4" w:space="0" w:color="000000"/>
              <w:bottom w:val="single" w:sz="4" w:space="0" w:color="000000"/>
              <w:right w:val="single" w:sz="4" w:space="0" w:color="000000"/>
            </w:tcBorders>
            <w:vAlign w:val="center"/>
          </w:tcPr>
          <w:p w:rsidR="001C682A" w:rsidRDefault="00B03C38">
            <w:pPr>
              <w:spacing w:after="0" w:line="259" w:lineRule="auto"/>
              <w:ind w:left="0" w:firstLine="0"/>
              <w:jc w:val="right"/>
            </w:pPr>
            <w:r>
              <w:rPr>
                <w:sz w:val="14"/>
              </w:rPr>
              <w:t>-30.3%</w:t>
            </w:r>
          </w:p>
        </w:tc>
      </w:tr>
      <w:tr w:rsidR="001C682A">
        <w:trPr>
          <w:trHeight w:val="191"/>
        </w:trPr>
        <w:tc>
          <w:tcPr>
            <w:tcW w:w="28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0" w:firstLine="0"/>
              <w:jc w:val="right"/>
            </w:pPr>
            <w:r>
              <w:rPr>
                <w:sz w:val="12"/>
              </w:rPr>
              <w:t>iv</w:t>
            </w:r>
          </w:p>
        </w:tc>
        <w:tc>
          <w:tcPr>
            <w:tcW w:w="1791"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rPr>
                <w:sz w:val="14"/>
              </w:rPr>
              <w:t>FGN's Share (15%)</w:t>
            </w:r>
          </w:p>
        </w:tc>
        <w:tc>
          <w:tcPr>
            <w:tcW w:w="85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2" w:firstLine="0"/>
              <w:jc w:val="right"/>
            </w:pPr>
            <w:r>
              <w:rPr>
                <w:sz w:val="14"/>
              </w:rPr>
              <w:t>245.72</w:t>
            </w:r>
          </w:p>
        </w:tc>
        <w:tc>
          <w:tcPr>
            <w:tcW w:w="723"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2" w:firstLine="0"/>
              <w:jc w:val="right"/>
            </w:pPr>
            <w:r>
              <w:rPr>
                <w:sz w:val="14"/>
              </w:rPr>
              <w:t>171.16</w:t>
            </w:r>
          </w:p>
        </w:tc>
        <w:tc>
          <w:tcPr>
            <w:tcW w:w="753"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 w:firstLine="0"/>
              <w:jc w:val="right"/>
            </w:pPr>
            <w:r>
              <w:rPr>
                <w:sz w:val="14"/>
              </w:rPr>
              <w:t>(74.56)</w:t>
            </w:r>
          </w:p>
        </w:tc>
        <w:tc>
          <w:tcPr>
            <w:tcW w:w="6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right"/>
            </w:pPr>
            <w:r>
              <w:rPr>
                <w:sz w:val="14"/>
              </w:rPr>
              <w:t>-30.3%</w:t>
            </w:r>
          </w:p>
        </w:tc>
      </w:tr>
      <w:tr w:rsidR="001C682A">
        <w:trPr>
          <w:trHeight w:val="190"/>
        </w:trPr>
        <w:tc>
          <w:tcPr>
            <w:tcW w:w="284"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0" w:firstLine="0"/>
              <w:jc w:val="right"/>
            </w:pPr>
            <w:r>
              <w:rPr>
                <w:sz w:val="12"/>
              </w:rPr>
              <w:t>v</w:t>
            </w:r>
          </w:p>
        </w:tc>
        <w:tc>
          <w:tcPr>
            <w:tcW w:w="1791"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rPr>
                <w:sz w:val="14"/>
              </w:rPr>
              <w:t>States' Share (50%)</w:t>
            </w:r>
          </w:p>
        </w:tc>
        <w:tc>
          <w:tcPr>
            <w:tcW w:w="85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2" w:firstLine="0"/>
              <w:jc w:val="right"/>
            </w:pPr>
            <w:r>
              <w:rPr>
                <w:sz w:val="14"/>
              </w:rPr>
              <w:t>819.07</w:t>
            </w:r>
          </w:p>
        </w:tc>
        <w:tc>
          <w:tcPr>
            <w:tcW w:w="723"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2" w:firstLine="0"/>
              <w:jc w:val="right"/>
            </w:pPr>
            <w:r>
              <w:rPr>
                <w:sz w:val="14"/>
              </w:rPr>
              <w:t>570.52</w:t>
            </w:r>
          </w:p>
        </w:tc>
        <w:tc>
          <w:tcPr>
            <w:tcW w:w="753"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 w:firstLine="0"/>
              <w:jc w:val="right"/>
            </w:pPr>
            <w:r>
              <w:rPr>
                <w:sz w:val="14"/>
              </w:rPr>
              <w:t>(248.55)</w:t>
            </w:r>
          </w:p>
        </w:tc>
        <w:tc>
          <w:tcPr>
            <w:tcW w:w="6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right"/>
            </w:pPr>
            <w:r>
              <w:rPr>
                <w:sz w:val="14"/>
              </w:rPr>
              <w:t>-30.3%</w:t>
            </w:r>
          </w:p>
        </w:tc>
      </w:tr>
      <w:tr w:rsidR="001C682A">
        <w:trPr>
          <w:trHeight w:val="192"/>
        </w:trPr>
        <w:tc>
          <w:tcPr>
            <w:tcW w:w="284" w:type="dxa"/>
            <w:tcBorders>
              <w:top w:val="single" w:sz="4" w:space="0" w:color="000000"/>
              <w:left w:val="single" w:sz="4" w:space="0" w:color="000000"/>
              <w:bottom w:val="single" w:sz="5" w:space="0" w:color="000000"/>
              <w:right w:val="single" w:sz="4" w:space="0" w:color="000000"/>
            </w:tcBorders>
          </w:tcPr>
          <w:p w:rsidR="001C682A" w:rsidRDefault="00B03C38">
            <w:pPr>
              <w:spacing w:after="0" w:line="259" w:lineRule="auto"/>
              <w:ind w:left="0" w:firstLine="0"/>
              <w:jc w:val="right"/>
            </w:pPr>
            <w:r>
              <w:rPr>
                <w:sz w:val="12"/>
              </w:rPr>
              <w:t>vi</w:t>
            </w:r>
          </w:p>
        </w:tc>
        <w:tc>
          <w:tcPr>
            <w:tcW w:w="1791" w:type="dxa"/>
            <w:tcBorders>
              <w:top w:val="single" w:sz="4" w:space="0" w:color="000000"/>
              <w:left w:val="single" w:sz="4" w:space="0" w:color="000000"/>
              <w:bottom w:val="single" w:sz="5" w:space="0" w:color="000000"/>
              <w:right w:val="single" w:sz="4" w:space="0" w:color="000000"/>
            </w:tcBorders>
          </w:tcPr>
          <w:p w:rsidR="001C682A" w:rsidRDefault="00B03C38">
            <w:pPr>
              <w:spacing w:after="0" w:line="259" w:lineRule="auto"/>
              <w:ind w:left="0" w:firstLine="0"/>
              <w:jc w:val="left"/>
            </w:pPr>
            <w:r>
              <w:rPr>
                <w:sz w:val="14"/>
              </w:rPr>
              <w:t>Local Govt.'s Share (35%)</w:t>
            </w:r>
          </w:p>
        </w:tc>
        <w:tc>
          <w:tcPr>
            <w:tcW w:w="855" w:type="dxa"/>
            <w:tcBorders>
              <w:top w:val="single" w:sz="4" w:space="0" w:color="000000"/>
              <w:left w:val="single" w:sz="4" w:space="0" w:color="000000"/>
              <w:bottom w:val="single" w:sz="5" w:space="0" w:color="000000"/>
              <w:right w:val="single" w:sz="4" w:space="0" w:color="000000"/>
            </w:tcBorders>
          </w:tcPr>
          <w:p w:rsidR="001C682A" w:rsidRDefault="00B03C38">
            <w:pPr>
              <w:spacing w:after="0" w:line="259" w:lineRule="auto"/>
              <w:ind w:left="0" w:right="2" w:firstLine="0"/>
              <w:jc w:val="right"/>
            </w:pPr>
            <w:r>
              <w:rPr>
                <w:sz w:val="14"/>
              </w:rPr>
              <w:t>573.35</w:t>
            </w:r>
          </w:p>
        </w:tc>
        <w:tc>
          <w:tcPr>
            <w:tcW w:w="723" w:type="dxa"/>
            <w:tcBorders>
              <w:top w:val="single" w:sz="4" w:space="0" w:color="000000"/>
              <w:left w:val="single" w:sz="4" w:space="0" w:color="000000"/>
              <w:bottom w:val="single" w:sz="5" w:space="0" w:color="000000"/>
              <w:right w:val="single" w:sz="4" w:space="0" w:color="000000"/>
            </w:tcBorders>
          </w:tcPr>
          <w:p w:rsidR="001C682A" w:rsidRDefault="00B03C38">
            <w:pPr>
              <w:spacing w:after="0" w:line="259" w:lineRule="auto"/>
              <w:ind w:left="0" w:right="2" w:firstLine="0"/>
              <w:jc w:val="right"/>
            </w:pPr>
            <w:r>
              <w:rPr>
                <w:sz w:val="14"/>
              </w:rPr>
              <w:t>399.36</w:t>
            </w:r>
          </w:p>
        </w:tc>
        <w:tc>
          <w:tcPr>
            <w:tcW w:w="753" w:type="dxa"/>
            <w:tcBorders>
              <w:top w:val="single" w:sz="4" w:space="0" w:color="000000"/>
              <w:left w:val="single" w:sz="4" w:space="0" w:color="000000"/>
              <w:bottom w:val="single" w:sz="5" w:space="0" w:color="000000"/>
              <w:right w:val="single" w:sz="4" w:space="0" w:color="000000"/>
            </w:tcBorders>
          </w:tcPr>
          <w:p w:rsidR="001C682A" w:rsidRDefault="00B03C38">
            <w:pPr>
              <w:spacing w:after="0" w:line="259" w:lineRule="auto"/>
              <w:ind w:left="0" w:right="1" w:firstLine="0"/>
              <w:jc w:val="right"/>
            </w:pPr>
            <w:r>
              <w:rPr>
                <w:sz w:val="14"/>
              </w:rPr>
              <w:t>(173.98)</w:t>
            </w:r>
          </w:p>
        </w:tc>
        <w:tc>
          <w:tcPr>
            <w:tcW w:w="632" w:type="dxa"/>
            <w:tcBorders>
              <w:top w:val="single" w:sz="4" w:space="0" w:color="000000"/>
              <w:left w:val="single" w:sz="4" w:space="0" w:color="000000"/>
              <w:bottom w:val="single" w:sz="5" w:space="0" w:color="000000"/>
              <w:right w:val="single" w:sz="4" w:space="0" w:color="000000"/>
            </w:tcBorders>
          </w:tcPr>
          <w:p w:rsidR="001C682A" w:rsidRDefault="00B03C38">
            <w:pPr>
              <w:spacing w:after="0" w:line="259" w:lineRule="auto"/>
              <w:ind w:left="0" w:firstLine="0"/>
              <w:jc w:val="right"/>
            </w:pPr>
            <w:r>
              <w:rPr>
                <w:sz w:val="14"/>
              </w:rPr>
              <w:t>-30.3%</w:t>
            </w:r>
          </w:p>
        </w:tc>
      </w:tr>
    </w:tbl>
    <w:bookmarkEnd w:id="24"/>
    <w:p w:rsidR="001C682A" w:rsidRDefault="00B03C38">
      <w:pPr>
        <w:spacing w:after="7" w:line="273" w:lineRule="auto"/>
        <w:ind w:left="213" w:right="1625"/>
        <w:jc w:val="left"/>
      </w:pPr>
      <w:r>
        <w:t xml:space="preserve">The amount available for distribution from the Main Federation Account Pool was N5.05 trillion. Of this, the Federal Government received N3.19 trillion while the States and Local Governments received N1.36 trillion and </w:t>
      </w:r>
      <w:r>
        <w:tab/>
        <w:t xml:space="preserve">N1.25 </w:t>
      </w:r>
      <w:r>
        <w:tab/>
        <w:t xml:space="preserve">trillion </w:t>
      </w:r>
      <w:r>
        <w:tab/>
        <w:t xml:space="preserve">respectively. Federal, State and Local governments received N171.16 billion, N570.52 billion and N399.36 billion respectively </w:t>
      </w:r>
    </w:p>
    <w:p w:rsidR="001C682A" w:rsidRDefault="00B03C38">
      <w:pPr>
        <w:tabs>
          <w:tab w:val="center" w:pos="1576"/>
          <w:tab w:val="center" w:pos="5412"/>
        </w:tabs>
        <w:spacing w:after="185"/>
        <w:ind w:left="0" w:firstLine="0"/>
        <w:jc w:val="left"/>
      </w:pPr>
      <w:r>
        <w:rPr>
          <w:rFonts w:ascii="Calibri" w:eastAsia="Calibri" w:hAnsi="Calibri" w:cs="Calibri"/>
        </w:rPr>
        <w:tab/>
      </w:r>
      <w:r>
        <w:t xml:space="preserve">from the VAT Pool Account.  </w:t>
      </w:r>
      <w:r>
        <w:tab/>
        <w:t xml:space="preserve">                 </w:t>
      </w:r>
      <w:r>
        <w:rPr>
          <w:i/>
          <w:sz w:val="16"/>
        </w:rPr>
        <w:t>Source:</w:t>
      </w:r>
      <w:r>
        <w:rPr>
          <w:sz w:val="16"/>
        </w:rPr>
        <w:t xml:space="preserve"> BOF, OAGF, PRMRC </w:t>
      </w:r>
    </w:p>
    <w:p w:rsidR="001C682A" w:rsidRDefault="00B03C38">
      <w:pPr>
        <w:spacing w:after="0" w:line="259" w:lineRule="auto"/>
        <w:ind w:left="218" w:firstLine="0"/>
        <w:jc w:val="left"/>
      </w:pPr>
      <w:r>
        <w:t xml:space="preserve"> </w:t>
      </w:r>
    </w:p>
    <w:p w:rsidR="001C682A" w:rsidRDefault="00B03C38">
      <w:pPr>
        <w:pStyle w:val="Heading5"/>
        <w:spacing w:after="36" w:line="259" w:lineRule="auto"/>
        <w:ind w:left="213"/>
      </w:pPr>
      <w:bookmarkStart w:id="25" w:name="_Toc389384"/>
      <w:r>
        <w:rPr>
          <w:rFonts w:ascii="Arial" w:eastAsia="Arial" w:hAnsi="Arial" w:cs="Arial"/>
          <w:i/>
          <w:color w:val="2F5496"/>
          <w:sz w:val="26"/>
        </w:rPr>
        <w:t xml:space="preserve">3.1.4 FGN Revenue </w:t>
      </w:r>
      <w:bookmarkEnd w:id="25"/>
    </w:p>
    <w:p w:rsidR="001C682A" w:rsidRDefault="00B03C38">
      <w:pPr>
        <w:spacing w:after="122" w:line="259" w:lineRule="auto"/>
        <w:ind w:left="213"/>
        <w:jc w:val="left"/>
      </w:pPr>
      <w:bookmarkStart w:id="26" w:name="_Hlk50341220"/>
      <w:bookmarkStart w:id="27" w:name="_GoBack"/>
      <w:r>
        <w:rPr>
          <w:rFonts w:ascii="Franklin Gothic Book" w:eastAsia="Franklin Gothic Book" w:hAnsi="Franklin Gothic Book" w:cs="Franklin Gothic Book"/>
          <w:sz w:val="20"/>
        </w:rPr>
        <w:t>Table 3.4 FGN Revenue Profile (Jan – Dec) 2019 (</w:t>
      </w:r>
      <w:proofErr w:type="spellStart"/>
      <w:r>
        <w:rPr>
          <w:rFonts w:ascii="Franklin Gothic Book" w:eastAsia="Franklin Gothic Book" w:hAnsi="Franklin Gothic Book" w:cs="Franklin Gothic Book"/>
          <w:sz w:val="20"/>
        </w:rPr>
        <w:t>N’Billion</w:t>
      </w:r>
      <w:proofErr w:type="spellEnd"/>
      <w:r>
        <w:rPr>
          <w:rFonts w:ascii="Franklin Gothic Book" w:eastAsia="Franklin Gothic Book" w:hAnsi="Franklin Gothic Book" w:cs="Franklin Gothic Book"/>
          <w:sz w:val="20"/>
        </w:rPr>
        <w:t xml:space="preserve">) </w:t>
      </w:r>
    </w:p>
    <w:tbl>
      <w:tblPr>
        <w:tblStyle w:val="TableGrid"/>
        <w:tblpPr w:vertAnchor="text" w:tblpX="226" w:tblpYSpec="center"/>
        <w:tblOverlap w:val="never"/>
        <w:tblW w:w="5335" w:type="dxa"/>
        <w:tblInd w:w="0" w:type="dxa"/>
        <w:tblCellMar>
          <w:top w:w="18" w:type="dxa"/>
          <w:left w:w="27" w:type="dxa"/>
          <w:bottom w:w="1" w:type="dxa"/>
          <w:right w:w="16" w:type="dxa"/>
        </w:tblCellMar>
        <w:tblLook w:val="04A0" w:firstRow="1" w:lastRow="0" w:firstColumn="1" w:lastColumn="0" w:noHBand="0" w:noVBand="1"/>
      </w:tblPr>
      <w:tblGrid>
        <w:gridCol w:w="313"/>
        <w:gridCol w:w="2392"/>
        <w:gridCol w:w="685"/>
        <w:gridCol w:w="697"/>
        <w:gridCol w:w="708"/>
        <w:gridCol w:w="540"/>
      </w:tblGrid>
      <w:tr w:rsidR="001C682A">
        <w:trPr>
          <w:trHeight w:val="481"/>
        </w:trPr>
        <w:tc>
          <w:tcPr>
            <w:tcW w:w="313" w:type="dxa"/>
            <w:tcBorders>
              <w:top w:val="single" w:sz="3" w:space="0" w:color="000000"/>
              <w:left w:val="single" w:sz="4" w:space="0" w:color="000000"/>
              <w:bottom w:val="single" w:sz="4" w:space="0" w:color="000000"/>
              <w:right w:val="single" w:sz="4" w:space="0" w:color="000000"/>
            </w:tcBorders>
            <w:shd w:val="clear" w:color="auto" w:fill="1F4E78"/>
          </w:tcPr>
          <w:p w:rsidR="001C682A" w:rsidRDefault="001C682A">
            <w:pPr>
              <w:spacing w:after="160" w:line="259" w:lineRule="auto"/>
              <w:ind w:left="0" w:firstLine="0"/>
              <w:jc w:val="left"/>
            </w:pPr>
            <w:bookmarkStart w:id="28" w:name="_Hlk49581894"/>
          </w:p>
        </w:tc>
        <w:tc>
          <w:tcPr>
            <w:tcW w:w="2393" w:type="dxa"/>
            <w:tcBorders>
              <w:top w:val="single" w:sz="3" w:space="0" w:color="000000"/>
              <w:left w:val="single" w:sz="4" w:space="0" w:color="000000"/>
              <w:bottom w:val="single" w:sz="4" w:space="0" w:color="000000"/>
              <w:right w:val="single" w:sz="4" w:space="0" w:color="000000"/>
            </w:tcBorders>
            <w:shd w:val="clear" w:color="auto" w:fill="1F4E78"/>
          </w:tcPr>
          <w:p w:rsidR="001C682A" w:rsidRDefault="001C682A">
            <w:pPr>
              <w:spacing w:after="160" w:line="259" w:lineRule="auto"/>
              <w:ind w:left="0" w:firstLine="0"/>
              <w:jc w:val="left"/>
            </w:pPr>
          </w:p>
        </w:tc>
        <w:tc>
          <w:tcPr>
            <w:tcW w:w="1382" w:type="dxa"/>
            <w:gridSpan w:val="2"/>
            <w:tcBorders>
              <w:top w:val="single" w:sz="3" w:space="0" w:color="000000"/>
              <w:left w:val="single" w:sz="4" w:space="0" w:color="000000"/>
              <w:bottom w:val="single" w:sz="4" w:space="0" w:color="000000"/>
              <w:right w:val="single" w:sz="4" w:space="0" w:color="000000"/>
            </w:tcBorders>
            <w:shd w:val="clear" w:color="auto" w:fill="1F4E78"/>
          </w:tcPr>
          <w:p w:rsidR="001C682A" w:rsidRDefault="00B03C38">
            <w:pPr>
              <w:spacing w:after="0" w:line="259" w:lineRule="auto"/>
              <w:ind w:left="181" w:firstLine="0"/>
              <w:jc w:val="left"/>
            </w:pPr>
            <w:r>
              <w:rPr>
                <w:b/>
                <w:color w:val="FFFFFF"/>
                <w:sz w:val="12"/>
              </w:rPr>
              <w:t xml:space="preserve">2019 </w:t>
            </w:r>
          </w:p>
          <w:p w:rsidR="001C682A" w:rsidRDefault="00B03C38">
            <w:pPr>
              <w:spacing w:after="0" w:line="259" w:lineRule="auto"/>
              <w:ind w:left="0" w:right="101" w:firstLine="0"/>
              <w:jc w:val="right"/>
            </w:pPr>
            <w:r>
              <w:rPr>
                <w:b/>
                <w:color w:val="FFFFFF"/>
                <w:sz w:val="12"/>
              </w:rPr>
              <w:t xml:space="preserve">Actuals </w:t>
            </w:r>
          </w:p>
          <w:p w:rsidR="001C682A" w:rsidRDefault="00B03C38">
            <w:pPr>
              <w:spacing w:after="0" w:line="259" w:lineRule="auto"/>
              <w:ind w:left="24" w:firstLine="0"/>
              <w:jc w:val="left"/>
            </w:pPr>
            <w:r>
              <w:rPr>
                <w:b/>
                <w:color w:val="FFFFFF"/>
                <w:sz w:val="12"/>
              </w:rPr>
              <w:t xml:space="preserve">Approved </w:t>
            </w:r>
          </w:p>
          <w:p w:rsidR="001C682A" w:rsidRDefault="00B03C38">
            <w:pPr>
              <w:spacing w:after="0" w:line="259" w:lineRule="auto"/>
              <w:ind w:left="102" w:firstLine="618"/>
            </w:pPr>
            <w:r>
              <w:rPr>
                <w:b/>
                <w:color w:val="FFFFFF"/>
                <w:sz w:val="12"/>
              </w:rPr>
              <w:t>(Jan-Dec) Budget</w:t>
            </w:r>
          </w:p>
        </w:tc>
        <w:tc>
          <w:tcPr>
            <w:tcW w:w="1247" w:type="dxa"/>
            <w:gridSpan w:val="2"/>
            <w:tcBorders>
              <w:top w:val="single" w:sz="3" w:space="0" w:color="000000"/>
              <w:left w:val="single" w:sz="4" w:space="0" w:color="000000"/>
              <w:bottom w:val="single" w:sz="4" w:space="0" w:color="000000"/>
              <w:right w:val="single" w:sz="4" w:space="0" w:color="000000"/>
            </w:tcBorders>
            <w:shd w:val="clear" w:color="auto" w:fill="1F4E78"/>
            <w:vAlign w:val="center"/>
          </w:tcPr>
          <w:p w:rsidR="001C682A" w:rsidRDefault="00B03C38">
            <w:pPr>
              <w:spacing w:after="0" w:line="259" w:lineRule="auto"/>
              <w:ind w:left="2" w:firstLine="0"/>
              <w:jc w:val="center"/>
            </w:pPr>
            <w:r>
              <w:rPr>
                <w:b/>
                <w:color w:val="FFFFFF"/>
                <w:sz w:val="12"/>
              </w:rPr>
              <w:t>Variance</w:t>
            </w:r>
          </w:p>
        </w:tc>
      </w:tr>
      <w:tr w:rsidR="001C682A">
        <w:trPr>
          <w:trHeight w:val="335"/>
        </w:trPr>
        <w:tc>
          <w:tcPr>
            <w:tcW w:w="313" w:type="dxa"/>
            <w:tcBorders>
              <w:top w:val="single" w:sz="4" w:space="0" w:color="000000"/>
              <w:left w:val="single" w:sz="4" w:space="0" w:color="000000"/>
              <w:bottom w:val="single" w:sz="9" w:space="0" w:color="000000"/>
              <w:right w:val="single" w:sz="4" w:space="0" w:color="000000"/>
            </w:tcBorders>
            <w:shd w:val="clear" w:color="auto" w:fill="1F4E78"/>
          </w:tcPr>
          <w:p w:rsidR="001C682A" w:rsidRDefault="001C682A">
            <w:pPr>
              <w:spacing w:after="160" w:line="259" w:lineRule="auto"/>
              <w:ind w:left="0" w:firstLine="0"/>
              <w:jc w:val="left"/>
            </w:pPr>
          </w:p>
        </w:tc>
        <w:tc>
          <w:tcPr>
            <w:tcW w:w="2393" w:type="dxa"/>
            <w:tcBorders>
              <w:top w:val="single" w:sz="4" w:space="0" w:color="000000"/>
              <w:left w:val="single" w:sz="4" w:space="0" w:color="000000"/>
              <w:bottom w:val="single" w:sz="9" w:space="0" w:color="000000"/>
              <w:right w:val="single" w:sz="4" w:space="0" w:color="000000"/>
            </w:tcBorders>
            <w:shd w:val="clear" w:color="auto" w:fill="1F4E78"/>
          </w:tcPr>
          <w:p w:rsidR="001C682A" w:rsidRDefault="001C682A">
            <w:pPr>
              <w:spacing w:after="160" w:line="259" w:lineRule="auto"/>
              <w:ind w:left="0" w:firstLine="0"/>
              <w:jc w:val="left"/>
            </w:pPr>
          </w:p>
        </w:tc>
        <w:tc>
          <w:tcPr>
            <w:tcW w:w="1382" w:type="dxa"/>
            <w:gridSpan w:val="2"/>
            <w:tcBorders>
              <w:top w:val="single" w:sz="4" w:space="0" w:color="000000"/>
              <w:left w:val="single" w:sz="4" w:space="0" w:color="000000"/>
              <w:bottom w:val="single" w:sz="9" w:space="0" w:color="000000"/>
              <w:right w:val="single" w:sz="4" w:space="0" w:color="000000"/>
            </w:tcBorders>
            <w:shd w:val="clear" w:color="auto" w:fill="1F4E78"/>
          </w:tcPr>
          <w:p w:rsidR="001C682A" w:rsidRDefault="001C682A">
            <w:pPr>
              <w:spacing w:after="160" w:line="259" w:lineRule="auto"/>
              <w:ind w:left="0" w:firstLine="0"/>
              <w:jc w:val="left"/>
            </w:pPr>
          </w:p>
        </w:tc>
        <w:tc>
          <w:tcPr>
            <w:tcW w:w="1247" w:type="dxa"/>
            <w:gridSpan w:val="2"/>
            <w:tcBorders>
              <w:top w:val="single" w:sz="4" w:space="0" w:color="000000"/>
              <w:left w:val="single" w:sz="4" w:space="0" w:color="000000"/>
              <w:bottom w:val="single" w:sz="9" w:space="0" w:color="000000"/>
              <w:right w:val="single" w:sz="4" w:space="0" w:color="000000"/>
            </w:tcBorders>
            <w:shd w:val="clear" w:color="auto" w:fill="1F4E78"/>
          </w:tcPr>
          <w:p w:rsidR="001C682A" w:rsidRDefault="00B03C38">
            <w:pPr>
              <w:spacing w:after="20" w:line="259" w:lineRule="auto"/>
              <w:ind w:left="24" w:firstLine="0"/>
              <w:jc w:val="left"/>
            </w:pPr>
            <w:r>
              <w:rPr>
                <w:b/>
                <w:color w:val="FFFFFF"/>
                <w:sz w:val="12"/>
              </w:rPr>
              <w:t xml:space="preserve">Billions of </w:t>
            </w:r>
          </w:p>
          <w:p w:rsidR="001C682A" w:rsidRDefault="00B03C38">
            <w:pPr>
              <w:tabs>
                <w:tab w:val="center" w:pos="955"/>
              </w:tabs>
              <w:spacing w:after="0" w:line="259" w:lineRule="auto"/>
              <w:ind w:left="0" w:firstLine="0"/>
              <w:jc w:val="left"/>
            </w:pPr>
            <w:r>
              <w:rPr>
                <w:b/>
                <w:color w:val="FFFFFF"/>
                <w:sz w:val="12"/>
              </w:rPr>
              <w:t>Naira</w:t>
            </w:r>
            <w:r>
              <w:rPr>
                <w:b/>
                <w:color w:val="FFFFFF"/>
                <w:sz w:val="12"/>
              </w:rPr>
              <w:tab/>
              <w:t>%</w:t>
            </w:r>
          </w:p>
        </w:tc>
      </w:tr>
      <w:tr w:rsidR="001C682A">
        <w:trPr>
          <w:trHeight w:val="229"/>
        </w:trPr>
        <w:tc>
          <w:tcPr>
            <w:tcW w:w="313" w:type="dxa"/>
            <w:tcBorders>
              <w:top w:val="single" w:sz="9" w:space="0" w:color="000000"/>
              <w:left w:val="single" w:sz="4" w:space="0" w:color="000000"/>
              <w:bottom w:val="single" w:sz="4" w:space="0" w:color="000000"/>
              <w:right w:val="single" w:sz="4" w:space="0" w:color="000000"/>
            </w:tcBorders>
            <w:shd w:val="clear" w:color="auto" w:fill="D0CECE"/>
            <w:vAlign w:val="bottom"/>
          </w:tcPr>
          <w:p w:rsidR="001C682A" w:rsidRDefault="00B03C38">
            <w:pPr>
              <w:spacing w:after="0" w:line="259" w:lineRule="auto"/>
              <w:ind w:left="0" w:firstLine="0"/>
              <w:jc w:val="left"/>
            </w:pPr>
            <w:r>
              <w:rPr>
                <w:b/>
                <w:sz w:val="12"/>
              </w:rPr>
              <w:t>S/N</w:t>
            </w:r>
          </w:p>
        </w:tc>
        <w:tc>
          <w:tcPr>
            <w:tcW w:w="2393" w:type="dxa"/>
            <w:tcBorders>
              <w:top w:val="single" w:sz="9" w:space="0" w:color="000000"/>
              <w:left w:val="single" w:sz="4" w:space="0" w:color="000000"/>
              <w:bottom w:val="single" w:sz="4" w:space="0" w:color="000000"/>
              <w:right w:val="single" w:sz="4" w:space="0" w:color="000000"/>
            </w:tcBorders>
            <w:shd w:val="clear" w:color="auto" w:fill="D0CECE"/>
            <w:vAlign w:val="bottom"/>
          </w:tcPr>
          <w:p w:rsidR="001C682A" w:rsidRDefault="00B03C38">
            <w:pPr>
              <w:spacing w:after="0" w:line="259" w:lineRule="auto"/>
              <w:ind w:left="1" w:firstLine="0"/>
              <w:jc w:val="left"/>
            </w:pPr>
            <w:r>
              <w:rPr>
                <w:b/>
                <w:sz w:val="12"/>
              </w:rPr>
              <w:t>FEDERAL RETAINED REVENUES</w:t>
            </w:r>
          </w:p>
        </w:tc>
        <w:tc>
          <w:tcPr>
            <w:tcW w:w="685" w:type="dxa"/>
            <w:tcBorders>
              <w:top w:val="single" w:sz="9" w:space="0" w:color="000000"/>
              <w:left w:val="single" w:sz="4" w:space="0" w:color="000000"/>
              <w:bottom w:val="single" w:sz="4" w:space="0" w:color="000000"/>
              <w:right w:val="single" w:sz="4" w:space="0" w:color="000000"/>
            </w:tcBorders>
            <w:shd w:val="clear" w:color="auto" w:fill="D0CECE"/>
            <w:vAlign w:val="bottom"/>
          </w:tcPr>
          <w:p w:rsidR="001C682A" w:rsidRDefault="00B03C38">
            <w:pPr>
              <w:spacing w:after="0" w:line="259" w:lineRule="auto"/>
              <w:ind w:left="24" w:firstLine="0"/>
            </w:pPr>
            <w:r>
              <w:rPr>
                <w:b/>
                <w:sz w:val="12"/>
              </w:rPr>
              <w:t xml:space="preserve">   6,998.49 </w:t>
            </w:r>
          </w:p>
        </w:tc>
        <w:tc>
          <w:tcPr>
            <w:tcW w:w="697" w:type="dxa"/>
            <w:tcBorders>
              <w:top w:val="single" w:sz="9" w:space="0" w:color="000000"/>
              <w:left w:val="single" w:sz="4" w:space="0" w:color="000000"/>
              <w:bottom w:val="single" w:sz="4" w:space="0" w:color="000000"/>
              <w:right w:val="single" w:sz="4" w:space="0" w:color="000000"/>
            </w:tcBorders>
            <w:shd w:val="clear" w:color="auto" w:fill="D0CECE"/>
            <w:vAlign w:val="bottom"/>
          </w:tcPr>
          <w:p w:rsidR="001C682A" w:rsidRDefault="00B03C38">
            <w:pPr>
              <w:spacing w:after="0" w:line="259" w:lineRule="auto"/>
              <w:ind w:left="13" w:firstLine="0"/>
            </w:pPr>
            <w:r>
              <w:rPr>
                <w:b/>
                <w:sz w:val="12"/>
              </w:rPr>
              <w:t xml:space="preserve">    4,540.44 </w:t>
            </w:r>
          </w:p>
        </w:tc>
        <w:tc>
          <w:tcPr>
            <w:tcW w:w="708" w:type="dxa"/>
            <w:tcBorders>
              <w:top w:val="single" w:sz="9" w:space="0" w:color="000000"/>
              <w:left w:val="single" w:sz="4" w:space="0" w:color="000000"/>
              <w:bottom w:val="single" w:sz="4" w:space="0" w:color="000000"/>
              <w:right w:val="single" w:sz="4" w:space="0" w:color="000000"/>
            </w:tcBorders>
            <w:shd w:val="clear" w:color="auto" w:fill="D0CECE"/>
            <w:vAlign w:val="bottom"/>
          </w:tcPr>
          <w:p w:rsidR="001C682A" w:rsidRDefault="00B03C38">
            <w:pPr>
              <w:spacing w:after="0" w:line="259" w:lineRule="auto"/>
              <w:ind w:left="13" w:firstLine="0"/>
            </w:pPr>
            <w:r>
              <w:rPr>
                <w:b/>
                <w:sz w:val="12"/>
              </w:rPr>
              <w:t xml:space="preserve">  (2,458.05)</w:t>
            </w:r>
          </w:p>
        </w:tc>
        <w:tc>
          <w:tcPr>
            <w:tcW w:w="540" w:type="dxa"/>
            <w:tcBorders>
              <w:top w:val="single" w:sz="9" w:space="0" w:color="000000"/>
              <w:left w:val="single" w:sz="4" w:space="0" w:color="000000"/>
              <w:bottom w:val="single" w:sz="4" w:space="0" w:color="000000"/>
              <w:right w:val="single" w:sz="4" w:space="0" w:color="000000"/>
            </w:tcBorders>
            <w:shd w:val="clear" w:color="auto" w:fill="D0CECE"/>
            <w:vAlign w:val="bottom"/>
          </w:tcPr>
          <w:p w:rsidR="001C682A" w:rsidRDefault="00B03C38">
            <w:pPr>
              <w:spacing w:after="0" w:line="259" w:lineRule="auto"/>
              <w:ind w:left="0" w:right="4" w:firstLine="0"/>
              <w:jc w:val="right"/>
            </w:pPr>
            <w:r>
              <w:rPr>
                <w:b/>
                <w:sz w:val="12"/>
              </w:rPr>
              <w:t>-35%</w:t>
            </w:r>
          </w:p>
        </w:tc>
      </w:tr>
      <w:tr w:rsidR="001C682A">
        <w:trPr>
          <w:trHeight w:val="156"/>
        </w:trPr>
        <w:tc>
          <w:tcPr>
            <w:tcW w:w="313" w:type="dxa"/>
            <w:tcBorders>
              <w:top w:val="single" w:sz="4" w:space="0" w:color="000000"/>
              <w:left w:val="single" w:sz="4" w:space="0" w:color="000000"/>
              <w:bottom w:val="single" w:sz="5" w:space="0" w:color="000000"/>
              <w:right w:val="single" w:sz="4" w:space="0" w:color="000000"/>
            </w:tcBorders>
          </w:tcPr>
          <w:p w:rsidR="001C682A" w:rsidRDefault="00B03C38">
            <w:pPr>
              <w:spacing w:after="0" w:line="259" w:lineRule="auto"/>
              <w:ind w:left="0" w:right="13" w:firstLine="0"/>
              <w:jc w:val="right"/>
            </w:pPr>
            <w:r>
              <w:rPr>
                <w:b/>
                <w:sz w:val="12"/>
              </w:rPr>
              <w:t>A</w:t>
            </w:r>
          </w:p>
        </w:tc>
        <w:tc>
          <w:tcPr>
            <w:tcW w:w="2393" w:type="dxa"/>
            <w:tcBorders>
              <w:top w:val="single" w:sz="4" w:space="0" w:color="000000"/>
              <w:left w:val="single" w:sz="4" w:space="0" w:color="000000"/>
              <w:bottom w:val="single" w:sz="5" w:space="0" w:color="000000"/>
              <w:right w:val="single" w:sz="4" w:space="0" w:color="000000"/>
            </w:tcBorders>
          </w:tcPr>
          <w:p w:rsidR="001C682A" w:rsidRDefault="001C682A">
            <w:pPr>
              <w:spacing w:after="160" w:line="259" w:lineRule="auto"/>
              <w:ind w:left="0" w:firstLine="0"/>
              <w:jc w:val="left"/>
            </w:pPr>
          </w:p>
        </w:tc>
        <w:tc>
          <w:tcPr>
            <w:tcW w:w="685" w:type="dxa"/>
            <w:tcBorders>
              <w:top w:val="single" w:sz="4" w:space="0" w:color="000000"/>
              <w:left w:val="single" w:sz="4" w:space="0" w:color="000000"/>
              <w:bottom w:val="single" w:sz="5" w:space="0" w:color="000000"/>
              <w:right w:val="single" w:sz="4" w:space="0" w:color="000000"/>
            </w:tcBorders>
          </w:tcPr>
          <w:p w:rsidR="001C682A" w:rsidRDefault="001C682A">
            <w:pPr>
              <w:spacing w:after="160" w:line="259" w:lineRule="auto"/>
              <w:ind w:left="0" w:firstLine="0"/>
              <w:jc w:val="left"/>
            </w:pPr>
          </w:p>
        </w:tc>
        <w:tc>
          <w:tcPr>
            <w:tcW w:w="697" w:type="dxa"/>
            <w:tcBorders>
              <w:top w:val="single" w:sz="4" w:space="0" w:color="000000"/>
              <w:left w:val="single" w:sz="4" w:space="0" w:color="000000"/>
              <w:bottom w:val="single" w:sz="5" w:space="0" w:color="000000"/>
              <w:right w:val="single" w:sz="4" w:space="0" w:color="000000"/>
            </w:tcBorders>
          </w:tcPr>
          <w:p w:rsidR="001C682A" w:rsidRDefault="001C682A">
            <w:pPr>
              <w:spacing w:after="160" w:line="259" w:lineRule="auto"/>
              <w:ind w:left="0" w:firstLine="0"/>
              <w:jc w:val="left"/>
            </w:pPr>
          </w:p>
        </w:tc>
        <w:tc>
          <w:tcPr>
            <w:tcW w:w="708" w:type="dxa"/>
            <w:tcBorders>
              <w:top w:val="single" w:sz="4" w:space="0" w:color="000000"/>
              <w:left w:val="single" w:sz="4" w:space="0" w:color="000000"/>
              <w:bottom w:val="single" w:sz="5" w:space="0" w:color="000000"/>
              <w:right w:val="single" w:sz="4" w:space="0" w:color="000000"/>
            </w:tcBorders>
          </w:tcPr>
          <w:p w:rsidR="001C682A" w:rsidRDefault="001C682A">
            <w:pPr>
              <w:spacing w:after="160" w:line="259" w:lineRule="auto"/>
              <w:ind w:left="0" w:firstLine="0"/>
              <w:jc w:val="left"/>
            </w:pPr>
          </w:p>
        </w:tc>
        <w:tc>
          <w:tcPr>
            <w:tcW w:w="540" w:type="dxa"/>
            <w:tcBorders>
              <w:top w:val="single" w:sz="4" w:space="0" w:color="000000"/>
              <w:left w:val="single" w:sz="4" w:space="0" w:color="000000"/>
              <w:bottom w:val="single" w:sz="5" w:space="0" w:color="000000"/>
              <w:right w:val="single" w:sz="4" w:space="0" w:color="000000"/>
            </w:tcBorders>
          </w:tcPr>
          <w:p w:rsidR="001C682A" w:rsidRDefault="001C682A">
            <w:pPr>
              <w:spacing w:after="160" w:line="259" w:lineRule="auto"/>
              <w:ind w:left="0" w:firstLine="0"/>
              <w:jc w:val="left"/>
            </w:pPr>
          </w:p>
        </w:tc>
      </w:tr>
      <w:tr w:rsidR="001C682A">
        <w:trPr>
          <w:trHeight w:val="169"/>
        </w:trPr>
        <w:tc>
          <w:tcPr>
            <w:tcW w:w="313"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0" w:right="10" w:firstLine="0"/>
              <w:jc w:val="right"/>
            </w:pPr>
            <w:r>
              <w:rPr>
                <w:sz w:val="12"/>
              </w:rPr>
              <w:t>1</w:t>
            </w:r>
          </w:p>
        </w:tc>
        <w:tc>
          <w:tcPr>
            <w:tcW w:w="2393"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102" w:firstLine="0"/>
              <w:jc w:val="left"/>
            </w:pPr>
            <w:r>
              <w:rPr>
                <w:sz w:val="12"/>
              </w:rPr>
              <w:t>Oil Revenue</w:t>
            </w:r>
          </w:p>
        </w:tc>
        <w:tc>
          <w:tcPr>
            <w:tcW w:w="685"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1" w:firstLine="0"/>
            </w:pPr>
            <w:r>
              <w:rPr>
                <w:sz w:val="12"/>
              </w:rPr>
              <w:t xml:space="preserve">   3,688.28 </w:t>
            </w:r>
          </w:p>
        </w:tc>
        <w:tc>
          <w:tcPr>
            <w:tcW w:w="697"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2" w:firstLine="0"/>
            </w:pPr>
            <w:r>
              <w:rPr>
                <w:sz w:val="12"/>
              </w:rPr>
              <w:t xml:space="preserve">    1,791.66 </w:t>
            </w:r>
          </w:p>
        </w:tc>
        <w:tc>
          <w:tcPr>
            <w:tcW w:w="708"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1" w:firstLine="0"/>
              <w:jc w:val="left"/>
            </w:pPr>
            <w:r>
              <w:rPr>
                <w:sz w:val="12"/>
              </w:rPr>
              <w:t xml:space="preserve">  (1,896.63)</w:t>
            </w:r>
          </w:p>
        </w:tc>
        <w:tc>
          <w:tcPr>
            <w:tcW w:w="540"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0" w:right="4" w:firstLine="0"/>
              <w:jc w:val="right"/>
            </w:pPr>
            <w:r>
              <w:rPr>
                <w:sz w:val="12"/>
              </w:rPr>
              <w:t>-51%</w:t>
            </w:r>
          </w:p>
        </w:tc>
      </w:tr>
      <w:tr w:rsidR="001C682A">
        <w:trPr>
          <w:trHeight w:val="169"/>
        </w:trPr>
        <w:tc>
          <w:tcPr>
            <w:tcW w:w="313"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0" w:right="10" w:firstLine="0"/>
              <w:jc w:val="right"/>
            </w:pPr>
            <w:r>
              <w:rPr>
                <w:sz w:val="12"/>
              </w:rPr>
              <w:t>2</w:t>
            </w:r>
          </w:p>
        </w:tc>
        <w:tc>
          <w:tcPr>
            <w:tcW w:w="2393"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102" w:firstLine="0"/>
              <w:jc w:val="left"/>
            </w:pPr>
            <w:r>
              <w:rPr>
                <w:sz w:val="12"/>
              </w:rPr>
              <w:t>Share of Dividend (NLNG)</w:t>
            </w:r>
          </w:p>
        </w:tc>
        <w:tc>
          <w:tcPr>
            <w:tcW w:w="685"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1" w:firstLine="0"/>
              <w:jc w:val="left"/>
            </w:pPr>
            <w:r>
              <w:rPr>
                <w:sz w:val="12"/>
              </w:rPr>
              <w:t xml:space="preserve">        39.89 </w:t>
            </w:r>
          </w:p>
        </w:tc>
        <w:tc>
          <w:tcPr>
            <w:tcW w:w="697" w:type="dxa"/>
            <w:tcBorders>
              <w:top w:val="single" w:sz="5" w:space="0" w:color="000000"/>
              <w:left w:val="single" w:sz="4" w:space="0" w:color="000000"/>
              <w:bottom w:val="single" w:sz="5" w:space="0" w:color="000000"/>
              <w:right w:val="single" w:sz="4" w:space="0" w:color="000000"/>
            </w:tcBorders>
          </w:tcPr>
          <w:p w:rsidR="001C682A" w:rsidRDefault="001C682A">
            <w:pPr>
              <w:spacing w:after="160" w:line="259" w:lineRule="auto"/>
              <w:ind w:left="0" w:firstLine="0"/>
              <w:jc w:val="left"/>
            </w:pPr>
          </w:p>
        </w:tc>
        <w:tc>
          <w:tcPr>
            <w:tcW w:w="708"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1" w:firstLine="0"/>
              <w:jc w:val="left"/>
            </w:pPr>
            <w:r>
              <w:rPr>
                <w:sz w:val="12"/>
              </w:rPr>
              <w:t xml:space="preserve">       (39.89)</w:t>
            </w:r>
          </w:p>
        </w:tc>
        <w:tc>
          <w:tcPr>
            <w:tcW w:w="540"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0" w:right="4" w:firstLine="0"/>
              <w:jc w:val="right"/>
            </w:pPr>
            <w:r>
              <w:rPr>
                <w:sz w:val="12"/>
              </w:rPr>
              <w:t>-100%</w:t>
            </w:r>
          </w:p>
        </w:tc>
      </w:tr>
      <w:tr w:rsidR="001C682A">
        <w:trPr>
          <w:trHeight w:val="169"/>
        </w:trPr>
        <w:tc>
          <w:tcPr>
            <w:tcW w:w="313"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0" w:right="10" w:firstLine="0"/>
              <w:jc w:val="right"/>
            </w:pPr>
            <w:r>
              <w:rPr>
                <w:sz w:val="12"/>
              </w:rPr>
              <w:t>3</w:t>
            </w:r>
          </w:p>
        </w:tc>
        <w:tc>
          <w:tcPr>
            <w:tcW w:w="2393"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102" w:firstLine="0"/>
              <w:jc w:val="left"/>
            </w:pPr>
            <w:r>
              <w:rPr>
                <w:sz w:val="12"/>
              </w:rPr>
              <w:t>Minerals &amp; Mining Revenue</w:t>
            </w:r>
          </w:p>
        </w:tc>
        <w:tc>
          <w:tcPr>
            <w:tcW w:w="685"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1" w:firstLine="0"/>
              <w:jc w:val="left"/>
            </w:pPr>
            <w:r>
              <w:rPr>
                <w:sz w:val="12"/>
              </w:rPr>
              <w:t xml:space="preserve">          1.29 </w:t>
            </w:r>
          </w:p>
        </w:tc>
        <w:tc>
          <w:tcPr>
            <w:tcW w:w="697"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2" w:firstLine="0"/>
            </w:pPr>
            <w:r>
              <w:rPr>
                <w:sz w:val="12"/>
              </w:rPr>
              <w:t xml:space="preserve">           2.11 </w:t>
            </w:r>
          </w:p>
        </w:tc>
        <w:tc>
          <w:tcPr>
            <w:tcW w:w="708"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1" w:firstLine="0"/>
            </w:pPr>
            <w:r>
              <w:rPr>
                <w:sz w:val="12"/>
              </w:rPr>
              <w:t xml:space="preserve">           0.82 </w:t>
            </w:r>
          </w:p>
        </w:tc>
        <w:tc>
          <w:tcPr>
            <w:tcW w:w="540"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0" w:right="4" w:firstLine="0"/>
              <w:jc w:val="right"/>
            </w:pPr>
            <w:r>
              <w:rPr>
                <w:sz w:val="12"/>
              </w:rPr>
              <w:t>64%</w:t>
            </w:r>
          </w:p>
        </w:tc>
      </w:tr>
      <w:tr w:rsidR="001C682A">
        <w:trPr>
          <w:trHeight w:val="169"/>
        </w:trPr>
        <w:tc>
          <w:tcPr>
            <w:tcW w:w="313"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0" w:right="10" w:firstLine="0"/>
              <w:jc w:val="right"/>
            </w:pPr>
            <w:r>
              <w:rPr>
                <w:sz w:val="12"/>
              </w:rPr>
              <w:t>4</w:t>
            </w:r>
          </w:p>
        </w:tc>
        <w:tc>
          <w:tcPr>
            <w:tcW w:w="2393"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102" w:firstLine="0"/>
              <w:jc w:val="left"/>
            </w:pPr>
            <w:r>
              <w:rPr>
                <w:sz w:val="12"/>
              </w:rPr>
              <w:t>Non-Oil Revenue:</w:t>
            </w:r>
          </w:p>
        </w:tc>
        <w:tc>
          <w:tcPr>
            <w:tcW w:w="685"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1" w:firstLine="0"/>
            </w:pPr>
            <w:r>
              <w:rPr>
                <w:b/>
                <w:sz w:val="12"/>
              </w:rPr>
              <w:t xml:space="preserve">   1,409.19 </w:t>
            </w:r>
          </w:p>
        </w:tc>
        <w:tc>
          <w:tcPr>
            <w:tcW w:w="697"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2" w:firstLine="0"/>
            </w:pPr>
            <w:r>
              <w:rPr>
                <w:b/>
                <w:sz w:val="12"/>
              </w:rPr>
              <w:t xml:space="preserve">    1,234.43 </w:t>
            </w:r>
          </w:p>
        </w:tc>
        <w:tc>
          <w:tcPr>
            <w:tcW w:w="708"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1" w:firstLine="0"/>
              <w:jc w:val="left"/>
            </w:pPr>
            <w:r>
              <w:rPr>
                <w:b/>
                <w:sz w:val="12"/>
              </w:rPr>
              <w:t xml:space="preserve">     (174.75)</w:t>
            </w:r>
          </w:p>
        </w:tc>
        <w:tc>
          <w:tcPr>
            <w:tcW w:w="540"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0" w:right="4" w:firstLine="0"/>
              <w:jc w:val="right"/>
            </w:pPr>
            <w:r>
              <w:rPr>
                <w:b/>
                <w:sz w:val="12"/>
              </w:rPr>
              <w:t>-12%</w:t>
            </w:r>
          </w:p>
        </w:tc>
      </w:tr>
      <w:tr w:rsidR="001C682A">
        <w:trPr>
          <w:trHeight w:val="169"/>
        </w:trPr>
        <w:tc>
          <w:tcPr>
            <w:tcW w:w="313"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0" w:right="7" w:firstLine="0"/>
              <w:jc w:val="right"/>
            </w:pPr>
            <w:proofErr w:type="spellStart"/>
            <w:r>
              <w:rPr>
                <w:sz w:val="12"/>
              </w:rPr>
              <w:t>i</w:t>
            </w:r>
            <w:proofErr w:type="spellEnd"/>
          </w:p>
        </w:tc>
        <w:tc>
          <w:tcPr>
            <w:tcW w:w="2393"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203" w:firstLine="0"/>
              <w:jc w:val="left"/>
            </w:pPr>
            <w:r>
              <w:rPr>
                <w:sz w:val="12"/>
              </w:rPr>
              <w:t>CIT</w:t>
            </w:r>
          </w:p>
        </w:tc>
        <w:tc>
          <w:tcPr>
            <w:tcW w:w="685"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1" w:firstLine="0"/>
              <w:jc w:val="left"/>
            </w:pPr>
            <w:r>
              <w:rPr>
                <w:sz w:val="12"/>
              </w:rPr>
              <w:t xml:space="preserve">      813.37 </w:t>
            </w:r>
          </w:p>
        </w:tc>
        <w:tc>
          <w:tcPr>
            <w:tcW w:w="697"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2" w:firstLine="0"/>
            </w:pPr>
            <w:r>
              <w:rPr>
                <w:sz w:val="12"/>
              </w:rPr>
              <w:t xml:space="preserve">       694.70 </w:t>
            </w:r>
          </w:p>
        </w:tc>
        <w:tc>
          <w:tcPr>
            <w:tcW w:w="708"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1" w:firstLine="0"/>
              <w:jc w:val="left"/>
            </w:pPr>
            <w:r>
              <w:rPr>
                <w:sz w:val="12"/>
              </w:rPr>
              <w:t xml:space="preserve">     (118.67)</w:t>
            </w:r>
          </w:p>
        </w:tc>
        <w:tc>
          <w:tcPr>
            <w:tcW w:w="540"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0" w:right="4" w:firstLine="0"/>
              <w:jc w:val="right"/>
            </w:pPr>
            <w:r>
              <w:rPr>
                <w:sz w:val="12"/>
              </w:rPr>
              <w:t>-15%</w:t>
            </w:r>
          </w:p>
        </w:tc>
      </w:tr>
      <w:tr w:rsidR="001C682A">
        <w:trPr>
          <w:trHeight w:val="169"/>
        </w:trPr>
        <w:tc>
          <w:tcPr>
            <w:tcW w:w="313"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0" w:right="7" w:firstLine="0"/>
              <w:jc w:val="right"/>
            </w:pPr>
            <w:r>
              <w:rPr>
                <w:sz w:val="12"/>
              </w:rPr>
              <w:t>ii</w:t>
            </w:r>
          </w:p>
        </w:tc>
        <w:tc>
          <w:tcPr>
            <w:tcW w:w="2393"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203" w:firstLine="0"/>
              <w:jc w:val="left"/>
            </w:pPr>
            <w:r>
              <w:rPr>
                <w:sz w:val="12"/>
              </w:rPr>
              <w:t>VAT</w:t>
            </w:r>
          </w:p>
        </w:tc>
        <w:tc>
          <w:tcPr>
            <w:tcW w:w="685"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1" w:firstLine="0"/>
              <w:jc w:val="left"/>
            </w:pPr>
            <w:r>
              <w:rPr>
                <w:sz w:val="12"/>
              </w:rPr>
              <w:t xml:space="preserve">      229.34 </w:t>
            </w:r>
          </w:p>
        </w:tc>
        <w:tc>
          <w:tcPr>
            <w:tcW w:w="697"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2" w:firstLine="0"/>
            </w:pPr>
            <w:r>
              <w:rPr>
                <w:sz w:val="12"/>
              </w:rPr>
              <w:t xml:space="preserve">       159.75 </w:t>
            </w:r>
          </w:p>
        </w:tc>
        <w:tc>
          <w:tcPr>
            <w:tcW w:w="708"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1" w:firstLine="0"/>
              <w:jc w:val="left"/>
            </w:pPr>
            <w:r>
              <w:rPr>
                <w:sz w:val="12"/>
              </w:rPr>
              <w:t xml:space="preserve">       (69.59)</w:t>
            </w:r>
          </w:p>
        </w:tc>
        <w:tc>
          <w:tcPr>
            <w:tcW w:w="540"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0" w:right="4" w:firstLine="0"/>
              <w:jc w:val="right"/>
            </w:pPr>
            <w:r>
              <w:rPr>
                <w:sz w:val="12"/>
              </w:rPr>
              <w:t>-30%</w:t>
            </w:r>
          </w:p>
        </w:tc>
      </w:tr>
      <w:tr w:rsidR="001C682A">
        <w:trPr>
          <w:trHeight w:val="169"/>
        </w:trPr>
        <w:tc>
          <w:tcPr>
            <w:tcW w:w="313"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0" w:right="17" w:firstLine="0"/>
              <w:jc w:val="right"/>
            </w:pPr>
            <w:r>
              <w:rPr>
                <w:sz w:val="12"/>
              </w:rPr>
              <w:t>iv</w:t>
            </w:r>
          </w:p>
        </w:tc>
        <w:tc>
          <w:tcPr>
            <w:tcW w:w="2393"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203" w:firstLine="0"/>
              <w:jc w:val="left"/>
            </w:pPr>
            <w:r>
              <w:rPr>
                <w:sz w:val="12"/>
              </w:rPr>
              <w:t>Customs Revenues</w:t>
            </w:r>
          </w:p>
        </w:tc>
        <w:tc>
          <w:tcPr>
            <w:tcW w:w="685"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1" w:firstLine="0"/>
              <w:jc w:val="left"/>
            </w:pPr>
            <w:r>
              <w:rPr>
                <w:sz w:val="12"/>
              </w:rPr>
              <w:t xml:space="preserve">      310.87 </w:t>
            </w:r>
          </w:p>
        </w:tc>
        <w:tc>
          <w:tcPr>
            <w:tcW w:w="697"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2" w:firstLine="0"/>
            </w:pPr>
            <w:r>
              <w:rPr>
                <w:sz w:val="12"/>
              </w:rPr>
              <w:t xml:space="preserve">       357.26 </w:t>
            </w:r>
          </w:p>
        </w:tc>
        <w:tc>
          <w:tcPr>
            <w:tcW w:w="708"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1" w:firstLine="0"/>
            </w:pPr>
            <w:r>
              <w:rPr>
                <w:sz w:val="12"/>
              </w:rPr>
              <w:t xml:space="preserve">         46.39 </w:t>
            </w:r>
          </w:p>
        </w:tc>
        <w:tc>
          <w:tcPr>
            <w:tcW w:w="540"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0" w:right="4" w:firstLine="0"/>
              <w:jc w:val="right"/>
            </w:pPr>
            <w:r>
              <w:rPr>
                <w:sz w:val="12"/>
              </w:rPr>
              <w:t>15%</w:t>
            </w:r>
          </w:p>
        </w:tc>
      </w:tr>
      <w:tr w:rsidR="001C682A">
        <w:trPr>
          <w:trHeight w:val="169"/>
        </w:trPr>
        <w:tc>
          <w:tcPr>
            <w:tcW w:w="313"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0" w:right="17" w:firstLine="0"/>
              <w:jc w:val="right"/>
            </w:pPr>
            <w:r>
              <w:rPr>
                <w:sz w:val="12"/>
              </w:rPr>
              <w:t>v</w:t>
            </w:r>
          </w:p>
        </w:tc>
        <w:tc>
          <w:tcPr>
            <w:tcW w:w="2393"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203" w:firstLine="0"/>
              <w:jc w:val="left"/>
            </w:pPr>
            <w:r>
              <w:rPr>
                <w:sz w:val="12"/>
              </w:rPr>
              <w:t>Federation Account Levies</w:t>
            </w:r>
          </w:p>
        </w:tc>
        <w:tc>
          <w:tcPr>
            <w:tcW w:w="685"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1" w:firstLine="0"/>
              <w:jc w:val="left"/>
            </w:pPr>
            <w:r>
              <w:rPr>
                <w:sz w:val="12"/>
              </w:rPr>
              <w:t xml:space="preserve">        55.62 </w:t>
            </w:r>
          </w:p>
        </w:tc>
        <w:tc>
          <w:tcPr>
            <w:tcW w:w="697"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2" w:firstLine="0"/>
            </w:pPr>
            <w:r>
              <w:rPr>
                <w:sz w:val="12"/>
              </w:rPr>
              <w:t xml:space="preserve">         22.73 </w:t>
            </w:r>
          </w:p>
        </w:tc>
        <w:tc>
          <w:tcPr>
            <w:tcW w:w="708"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1" w:firstLine="0"/>
              <w:jc w:val="left"/>
            </w:pPr>
            <w:r>
              <w:rPr>
                <w:sz w:val="12"/>
              </w:rPr>
              <w:t xml:space="preserve">       (32.88)</w:t>
            </w:r>
          </w:p>
        </w:tc>
        <w:tc>
          <w:tcPr>
            <w:tcW w:w="540" w:type="dxa"/>
            <w:tcBorders>
              <w:top w:val="single" w:sz="5" w:space="0" w:color="000000"/>
              <w:left w:val="single" w:sz="4" w:space="0" w:color="000000"/>
              <w:bottom w:val="single" w:sz="5" w:space="0" w:color="000000"/>
              <w:right w:val="single" w:sz="4" w:space="0" w:color="000000"/>
            </w:tcBorders>
          </w:tcPr>
          <w:p w:rsidR="001C682A" w:rsidRDefault="00B03C38">
            <w:pPr>
              <w:spacing w:after="0" w:line="259" w:lineRule="auto"/>
              <w:ind w:left="0" w:right="4" w:firstLine="0"/>
              <w:jc w:val="right"/>
            </w:pPr>
            <w:r>
              <w:rPr>
                <w:sz w:val="12"/>
              </w:rPr>
              <w:t>-59%</w:t>
            </w:r>
          </w:p>
        </w:tc>
      </w:tr>
      <w:tr w:rsidR="001C682A">
        <w:trPr>
          <w:trHeight w:val="157"/>
        </w:trPr>
        <w:tc>
          <w:tcPr>
            <w:tcW w:w="313" w:type="dxa"/>
            <w:tcBorders>
              <w:top w:val="single" w:sz="5" w:space="0" w:color="000000"/>
              <w:left w:val="single" w:sz="4" w:space="0" w:color="000000"/>
              <w:bottom w:val="single" w:sz="4" w:space="0" w:color="000000"/>
              <w:right w:val="single" w:sz="4" w:space="0" w:color="000000"/>
            </w:tcBorders>
          </w:tcPr>
          <w:p w:rsidR="001C682A" w:rsidRDefault="00B03C38">
            <w:pPr>
              <w:spacing w:after="0" w:line="259" w:lineRule="auto"/>
              <w:ind w:left="0" w:right="13" w:firstLine="0"/>
              <w:jc w:val="right"/>
            </w:pPr>
            <w:r>
              <w:rPr>
                <w:b/>
                <w:sz w:val="12"/>
              </w:rPr>
              <w:t>B</w:t>
            </w:r>
          </w:p>
        </w:tc>
        <w:tc>
          <w:tcPr>
            <w:tcW w:w="2393" w:type="dxa"/>
            <w:tcBorders>
              <w:top w:val="single" w:sz="5"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685" w:type="dxa"/>
            <w:tcBorders>
              <w:top w:val="single" w:sz="5"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b/>
                <w:sz w:val="12"/>
              </w:rPr>
              <w:t xml:space="preserve">   1,859.84 </w:t>
            </w:r>
          </w:p>
        </w:tc>
        <w:tc>
          <w:tcPr>
            <w:tcW w:w="697" w:type="dxa"/>
            <w:tcBorders>
              <w:top w:val="single" w:sz="5"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b/>
                <w:sz w:val="12"/>
              </w:rPr>
              <w:t xml:space="preserve">    1,512.24 </w:t>
            </w:r>
          </w:p>
        </w:tc>
        <w:tc>
          <w:tcPr>
            <w:tcW w:w="708" w:type="dxa"/>
            <w:tcBorders>
              <w:top w:val="single" w:sz="5"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rPr>
                <w:b/>
                <w:sz w:val="12"/>
              </w:rPr>
              <w:t xml:space="preserve">     (347.60)</w:t>
            </w:r>
          </w:p>
        </w:tc>
        <w:tc>
          <w:tcPr>
            <w:tcW w:w="540" w:type="dxa"/>
            <w:tcBorders>
              <w:top w:val="single" w:sz="5" w:space="0" w:color="000000"/>
              <w:left w:val="single" w:sz="4" w:space="0" w:color="000000"/>
              <w:bottom w:val="single" w:sz="4" w:space="0" w:color="000000"/>
              <w:right w:val="single" w:sz="4" w:space="0" w:color="000000"/>
            </w:tcBorders>
          </w:tcPr>
          <w:p w:rsidR="001C682A" w:rsidRDefault="00B03C38">
            <w:pPr>
              <w:spacing w:after="0" w:line="259" w:lineRule="auto"/>
              <w:ind w:left="0" w:right="4" w:firstLine="0"/>
              <w:jc w:val="right"/>
            </w:pPr>
            <w:r>
              <w:rPr>
                <w:b/>
                <w:sz w:val="12"/>
              </w:rPr>
              <w:t>-19%</w:t>
            </w:r>
          </w:p>
        </w:tc>
      </w:tr>
      <w:tr w:rsidR="001C682A">
        <w:trPr>
          <w:trHeight w:val="169"/>
        </w:trPr>
        <w:tc>
          <w:tcPr>
            <w:tcW w:w="313"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0" w:firstLine="0"/>
              <w:jc w:val="right"/>
            </w:pPr>
            <w:r>
              <w:rPr>
                <w:sz w:val="12"/>
              </w:rPr>
              <w:t>1</w:t>
            </w:r>
          </w:p>
        </w:tc>
        <w:tc>
          <w:tcPr>
            <w:tcW w:w="2393"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02" w:firstLine="0"/>
              <w:jc w:val="left"/>
            </w:pPr>
            <w:r>
              <w:rPr>
                <w:sz w:val="12"/>
              </w:rPr>
              <w:t>FGN Independent Revenue</w:t>
            </w:r>
          </w:p>
        </w:tc>
        <w:tc>
          <w:tcPr>
            <w:tcW w:w="68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rPr>
                <w:sz w:val="12"/>
              </w:rPr>
              <w:t xml:space="preserve">      631.08 </w:t>
            </w:r>
          </w:p>
        </w:tc>
        <w:tc>
          <w:tcPr>
            <w:tcW w:w="69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2"/>
              </w:rPr>
              <w:t xml:space="preserve">       557.34 </w:t>
            </w:r>
          </w:p>
        </w:tc>
        <w:tc>
          <w:tcPr>
            <w:tcW w:w="708"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rPr>
                <w:sz w:val="12"/>
              </w:rPr>
              <w:t xml:space="preserve">       (73.74)</w:t>
            </w:r>
          </w:p>
        </w:tc>
        <w:tc>
          <w:tcPr>
            <w:tcW w:w="54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4" w:firstLine="0"/>
              <w:jc w:val="right"/>
            </w:pPr>
            <w:r>
              <w:rPr>
                <w:sz w:val="12"/>
              </w:rPr>
              <w:t>-12%</w:t>
            </w:r>
          </w:p>
        </w:tc>
      </w:tr>
      <w:tr w:rsidR="001C682A">
        <w:trPr>
          <w:trHeight w:val="337"/>
        </w:trPr>
        <w:tc>
          <w:tcPr>
            <w:tcW w:w="313"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0" w:firstLine="0"/>
              <w:jc w:val="right"/>
            </w:pPr>
            <w:r>
              <w:rPr>
                <w:sz w:val="12"/>
              </w:rPr>
              <w:t>2</w:t>
            </w:r>
          </w:p>
        </w:tc>
        <w:tc>
          <w:tcPr>
            <w:tcW w:w="2393"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02" w:firstLine="0"/>
              <w:jc w:val="left"/>
            </w:pPr>
            <w:r>
              <w:rPr>
                <w:sz w:val="12"/>
              </w:rPr>
              <w:t>FGN Balances in Special Accounts/Levies</w:t>
            </w:r>
          </w:p>
        </w:tc>
        <w:tc>
          <w:tcPr>
            <w:tcW w:w="68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rPr>
                <w:sz w:val="12"/>
              </w:rPr>
              <w:t xml:space="preserve">        21.24 </w:t>
            </w:r>
          </w:p>
        </w:tc>
        <w:tc>
          <w:tcPr>
            <w:tcW w:w="69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2"/>
              </w:rPr>
              <w:t xml:space="preserve">       549.10 </w:t>
            </w:r>
          </w:p>
        </w:tc>
        <w:tc>
          <w:tcPr>
            <w:tcW w:w="708"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2"/>
              </w:rPr>
              <w:t xml:space="preserve">       527.86 </w:t>
            </w:r>
          </w:p>
        </w:tc>
        <w:tc>
          <w:tcPr>
            <w:tcW w:w="54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14" w:firstLine="0"/>
              <w:jc w:val="left"/>
            </w:pPr>
            <w:r>
              <w:rPr>
                <w:sz w:val="12"/>
              </w:rPr>
              <w:t>2485%</w:t>
            </w:r>
          </w:p>
        </w:tc>
      </w:tr>
      <w:tr w:rsidR="001C682A">
        <w:trPr>
          <w:trHeight w:val="169"/>
        </w:trPr>
        <w:tc>
          <w:tcPr>
            <w:tcW w:w="313"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0" w:firstLine="0"/>
              <w:jc w:val="right"/>
            </w:pPr>
            <w:r>
              <w:rPr>
                <w:sz w:val="12"/>
              </w:rPr>
              <w:t>3</w:t>
            </w:r>
          </w:p>
        </w:tc>
        <w:tc>
          <w:tcPr>
            <w:tcW w:w="2393"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02" w:firstLine="0"/>
              <w:jc w:val="left"/>
            </w:pPr>
            <w:r>
              <w:rPr>
                <w:sz w:val="12"/>
              </w:rPr>
              <w:t>FGN's Share of Signature Bonus</w:t>
            </w:r>
          </w:p>
        </w:tc>
        <w:tc>
          <w:tcPr>
            <w:tcW w:w="68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rPr>
                <w:sz w:val="12"/>
              </w:rPr>
              <w:t xml:space="preserve">        84.23 </w:t>
            </w:r>
          </w:p>
        </w:tc>
        <w:tc>
          <w:tcPr>
            <w:tcW w:w="69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2"/>
              </w:rPr>
              <w:t xml:space="preserve">       348.67 </w:t>
            </w:r>
          </w:p>
        </w:tc>
        <w:tc>
          <w:tcPr>
            <w:tcW w:w="708"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2"/>
              </w:rPr>
              <w:t xml:space="preserve">       264.44 </w:t>
            </w:r>
          </w:p>
        </w:tc>
        <w:tc>
          <w:tcPr>
            <w:tcW w:w="54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4" w:firstLine="0"/>
              <w:jc w:val="right"/>
            </w:pPr>
            <w:r>
              <w:rPr>
                <w:sz w:val="12"/>
              </w:rPr>
              <w:t>314%</w:t>
            </w:r>
          </w:p>
        </w:tc>
      </w:tr>
      <w:tr w:rsidR="001C682A">
        <w:trPr>
          <w:trHeight w:val="169"/>
        </w:trPr>
        <w:tc>
          <w:tcPr>
            <w:tcW w:w="313"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0" w:firstLine="0"/>
              <w:jc w:val="right"/>
            </w:pPr>
            <w:r>
              <w:rPr>
                <w:sz w:val="12"/>
              </w:rPr>
              <w:t>4</w:t>
            </w:r>
          </w:p>
        </w:tc>
        <w:tc>
          <w:tcPr>
            <w:tcW w:w="2393"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7" w:firstLine="0"/>
              <w:jc w:val="center"/>
            </w:pPr>
            <w:r>
              <w:rPr>
                <w:sz w:val="12"/>
              </w:rPr>
              <w:t>Domestic Recoveries + Assets + Fines</w:t>
            </w:r>
          </w:p>
        </w:tc>
        <w:tc>
          <w:tcPr>
            <w:tcW w:w="68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rPr>
                <w:sz w:val="12"/>
              </w:rPr>
              <w:t xml:space="preserve">      203.38 </w:t>
            </w:r>
          </w:p>
        </w:tc>
        <w:tc>
          <w:tcPr>
            <w:tcW w:w="697"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2"/>
              </w:rPr>
              <w:t xml:space="preserve">         55.78 </w:t>
            </w:r>
          </w:p>
        </w:tc>
        <w:tc>
          <w:tcPr>
            <w:tcW w:w="708"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rPr>
                <w:sz w:val="12"/>
              </w:rPr>
              <w:t xml:space="preserve">     (147.60)</w:t>
            </w:r>
          </w:p>
        </w:tc>
        <w:tc>
          <w:tcPr>
            <w:tcW w:w="54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4" w:firstLine="0"/>
              <w:jc w:val="right"/>
            </w:pPr>
            <w:r>
              <w:rPr>
                <w:sz w:val="12"/>
              </w:rPr>
              <w:t>-73%</w:t>
            </w:r>
          </w:p>
        </w:tc>
      </w:tr>
      <w:tr w:rsidR="001C682A">
        <w:trPr>
          <w:trHeight w:val="337"/>
        </w:trPr>
        <w:tc>
          <w:tcPr>
            <w:tcW w:w="313"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0" w:firstLine="0"/>
              <w:jc w:val="right"/>
            </w:pPr>
            <w:r>
              <w:rPr>
                <w:sz w:val="12"/>
              </w:rPr>
              <w:t>5</w:t>
            </w:r>
          </w:p>
        </w:tc>
        <w:tc>
          <w:tcPr>
            <w:tcW w:w="2393"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02" w:firstLine="0"/>
              <w:jc w:val="left"/>
            </w:pPr>
            <w:r>
              <w:rPr>
                <w:sz w:val="12"/>
              </w:rPr>
              <w:t>Earmarked Funds (Proceeds of Oil Assets Ownership Restructuring)</w:t>
            </w:r>
          </w:p>
        </w:tc>
        <w:tc>
          <w:tcPr>
            <w:tcW w:w="68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rPr>
                <w:sz w:val="12"/>
              </w:rPr>
              <w:t xml:space="preserve">      710.00 </w:t>
            </w:r>
          </w:p>
        </w:tc>
        <w:tc>
          <w:tcPr>
            <w:tcW w:w="697" w:type="dxa"/>
            <w:tcBorders>
              <w:top w:val="single" w:sz="4"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rPr>
                <w:sz w:val="12"/>
              </w:rPr>
              <w:t xml:space="preserve">     (710.00)</w:t>
            </w:r>
          </w:p>
        </w:tc>
        <w:tc>
          <w:tcPr>
            <w:tcW w:w="54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4" w:firstLine="0"/>
              <w:jc w:val="right"/>
            </w:pPr>
            <w:r>
              <w:rPr>
                <w:sz w:val="12"/>
              </w:rPr>
              <w:t>-100%</w:t>
            </w:r>
          </w:p>
        </w:tc>
      </w:tr>
      <w:tr w:rsidR="001C682A">
        <w:trPr>
          <w:trHeight w:val="170"/>
        </w:trPr>
        <w:tc>
          <w:tcPr>
            <w:tcW w:w="313" w:type="dxa"/>
            <w:tcBorders>
              <w:top w:val="single" w:sz="4" w:space="0" w:color="000000"/>
              <w:left w:val="single" w:sz="4" w:space="0" w:color="000000"/>
              <w:bottom w:val="single" w:sz="6" w:space="0" w:color="000000"/>
              <w:right w:val="single" w:sz="4" w:space="0" w:color="000000"/>
            </w:tcBorders>
          </w:tcPr>
          <w:p w:rsidR="001C682A" w:rsidRDefault="00B03C38">
            <w:pPr>
              <w:spacing w:after="0" w:line="259" w:lineRule="auto"/>
              <w:ind w:left="0" w:right="10" w:firstLine="0"/>
              <w:jc w:val="right"/>
            </w:pPr>
            <w:r>
              <w:rPr>
                <w:sz w:val="12"/>
              </w:rPr>
              <w:t>6</w:t>
            </w:r>
          </w:p>
        </w:tc>
        <w:tc>
          <w:tcPr>
            <w:tcW w:w="2393" w:type="dxa"/>
            <w:tcBorders>
              <w:top w:val="single" w:sz="4" w:space="0" w:color="000000"/>
              <w:left w:val="single" w:sz="4" w:space="0" w:color="000000"/>
              <w:bottom w:val="single" w:sz="6" w:space="0" w:color="000000"/>
              <w:right w:val="single" w:sz="4" w:space="0" w:color="000000"/>
            </w:tcBorders>
          </w:tcPr>
          <w:p w:rsidR="001C682A" w:rsidRDefault="00B03C38">
            <w:pPr>
              <w:spacing w:after="0" w:line="259" w:lineRule="auto"/>
              <w:ind w:left="102" w:firstLine="0"/>
              <w:jc w:val="left"/>
            </w:pPr>
            <w:r>
              <w:rPr>
                <w:sz w:val="12"/>
              </w:rPr>
              <w:t>Grants and Donor Funding</w:t>
            </w:r>
          </w:p>
        </w:tc>
        <w:tc>
          <w:tcPr>
            <w:tcW w:w="685" w:type="dxa"/>
            <w:tcBorders>
              <w:top w:val="single" w:sz="4" w:space="0" w:color="000000"/>
              <w:left w:val="single" w:sz="4" w:space="0" w:color="000000"/>
              <w:bottom w:val="single" w:sz="6" w:space="0" w:color="000000"/>
              <w:right w:val="single" w:sz="4" w:space="0" w:color="000000"/>
            </w:tcBorders>
          </w:tcPr>
          <w:p w:rsidR="001C682A" w:rsidRDefault="00B03C38">
            <w:pPr>
              <w:spacing w:after="0" w:line="259" w:lineRule="auto"/>
              <w:ind w:left="1" w:firstLine="0"/>
              <w:jc w:val="left"/>
            </w:pPr>
            <w:r>
              <w:rPr>
                <w:sz w:val="12"/>
              </w:rPr>
              <w:t xml:space="preserve">      209.92 </w:t>
            </w:r>
          </w:p>
        </w:tc>
        <w:tc>
          <w:tcPr>
            <w:tcW w:w="697" w:type="dxa"/>
            <w:tcBorders>
              <w:top w:val="single" w:sz="4" w:space="0" w:color="000000"/>
              <w:left w:val="single" w:sz="4" w:space="0" w:color="000000"/>
              <w:bottom w:val="single" w:sz="6" w:space="0" w:color="000000"/>
              <w:right w:val="single" w:sz="4" w:space="0" w:color="000000"/>
            </w:tcBorders>
          </w:tcPr>
          <w:p w:rsidR="001C682A" w:rsidRDefault="00B03C38">
            <w:pPr>
              <w:spacing w:after="0" w:line="259" w:lineRule="auto"/>
              <w:ind w:left="2" w:firstLine="0"/>
            </w:pPr>
            <w:r>
              <w:rPr>
                <w:sz w:val="12"/>
              </w:rPr>
              <w:t xml:space="preserve">           1.36 </w:t>
            </w:r>
          </w:p>
        </w:tc>
        <w:tc>
          <w:tcPr>
            <w:tcW w:w="708" w:type="dxa"/>
            <w:tcBorders>
              <w:top w:val="single" w:sz="4" w:space="0" w:color="000000"/>
              <w:left w:val="single" w:sz="4" w:space="0" w:color="000000"/>
              <w:bottom w:val="single" w:sz="6" w:space="0" w:color="000000"/>
              <w:right w:val="single" w:sz="4" w:space="0" w:color="000000"/>
            </w:tcBorders>
          </w:tcPr>
          <w:p w:rsidR="001C682A" w:rsidRDefault="00B03C38">
            <w:pPr>
              <w:spacing w:after="0" w:line="259" w:lineRule="auto"/>
              <w:ind w:left="1" w:firstLine="0"/>
              <w:jc w:val="left"/>
            </w:pPr>
            <w:r>
              <w:rPr>
                <w:sz w:val="12"/>
              </w:rPr>
              <w:t xml:space="preserve">     (208.56)</w:t>
            </w:r>
          </w:p>
        </w:tc>
        <w:tc>
          <w:tcPr>
            <w:tcW w:w="540" w:type="dxa"/>
            <w:tcBorders>
              <w:top w:val="single" w:sz="4" w:space="0" w:color="000000"/>
              <w:left w:val="single" w:sz="4" w:space="0" w:color="000000"/>
              <w:bottom w:val="single" w:sz="6" w:space="0" w:color="000000"/>
              <w:right w:val="single" w:sz="4" w:space="0" w:color="000000"/>
            </w:tcBorders>
          </w:tcPr>
          <w:p w:rsidR="001C682A" w:rsidRDefault="00B03C38">
            <w:pPr>
              <w:spacing w:after="0" w:line="259" w:lineRule="auto"/>
              <w:ind w:left="0" w:right="4" w:firstLine="0"/>
              <w:jc w:val="right"/>
            </w:pPr>
            <w:r>
              <w:rPr>
                <w:sz w:val="12"/>
              </w:rPr>
              <w:t>-99%</w:t>
            </w:r>
          </w:p>
        </w:tc>
      </w:tr>
    </w:tbl>
    <w:bookmarkEnd w:id="26"/>
    <w:bookmarkEnd w:id="28"/>
    <w:bookmarkEnd w:id="27"/>
    <w:p w:rsidR="001C682A" w:rsidRDefault="00B03C38">
      <w:pPr>
        <w:spacing w:after="7" w:line="253" w:lineRule="auto"/>
        <w:ind w:left="236" w:right="818"/>
        <w:jc w:val="right"/>
      </w:pPr>
      <w:r>
        <w:t xml:space="preserve">FGN’s actual revenues </w:t>
      </w:r>
      <w:proofErr w:type="spellStart"/>
      <w:r>
        <w:t>totaled</w:t>
      </w:r>
      <w:proofErr w:type="spellEnd"/>
      <w:r>
        <w:t xml:space="preserve"> N4.54 trillion by year-end 2019. Out of this, oil revenue was N1.79 trillion (representing 39.5% performance) while Non-oil tax revenue was N1.23 trillion </w:t>
      </w:r>
      <w:r>
        <w:tab/>
        <w:t xml:space="preserve">(88% </w:t>
      </w:r>
      <w:r>
        <w:tab/>
        <w:t xml:space="preserve">performance). Company Income Tax (CIT) and Value Added Tax (VAT) collections were N694.70 billion and N159.75 billion respectively, representing 85% and 70% of the Budget. </w:t>
      </w:r>
    </w:p>
    <w:p w:rsidR="001C682A" w:rsidRDefault="00B03C38">
      <w:pPr>
        <w:ind w:left="236" w:right="816"/>
      </w:pPr>
      <w:r>
        <w:t xml:space="preserve">Customs collections amounted to N379.99 billion, of which N357.26 billion was from import duties, excise and fees, while N22.73 billion </w:t>
      </w:r>
    </w:p>
    <w:p w:rsidR="001C682A" w:rsidRDefault="00B03C38">
      <w:pPr>
        <w:spacing w:after="288"/>
        <w:ind w:left="236" w:right="816"/>
      </w:pPr>
      <w:r>
        <w:t xml:space="preserve">was from Special Levies. Other revenues amounted to N1.51 trillion. This includes independent revenues of N557.34 billion. </w:t>
      </w:r>
    </w:p>
    <w:p w:rsidR="001C682A" w:rsidRDefault="00B03C38">
      <w:pPr>
        <w:pStyle w:val="Heading3"/>
        <w:tabs>
          <w:tab w:val="center" w:pos="414"/>
          <w:tab w:val="center" w:pos="2367"/>
        </w:tabs>
        <w:spacing w:after="0" w:line="259" w:lineRule="auto"/>
        <w:ind w:left="0" w:firstLine="0"/>
      </w:pPr>
      <w:bookmarkStart w:id="29" w:name="_Toc389385"/>
      <w:r>
        <w:rPr>
          <w:rFonts w:ascii="Calibri" w:eastAsia="Calibri" w:hAnsi="Calibri" w:cs="Calibri"/>
          <w:color w:val="000000"/>
          <w:sz w:val="22"/>
        </w:rPr>
        <w:tab/>
      </w:r>
      <w:r>
        <w:rPr>
          <w:rFonts w:ascii="Arial" w:eastAsia="Arial" w:hAnsi="Arial" w:cs="Arial"/>
          <w:b/>
        </w:rPr>
        <w:t xml:space="preserve">3.2 </w:t>
      </w:r>
      <w:r>
        <w:rPr>
          <w:rFonts w:ascii="Arial" w:eastAsia="Arial" w:hAnsi="Arial" w:cs="Arial"/>
          <w:b/>
        </w:rPr>
        <w:tab/>
        <w:t xml:space="preserve">Expenditure Outturns </w:t>
      </w:r>
      <w:bookmarkEnd w:id="29"/>
    </w:p>
    <w:p w:rsidR="001C682A" w:rsidRDefault="00B03C38">
      <w:pPr>
        <w:spacing w:after="225"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79058" name="Group 379058"/>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741" name="Shape 395741"/>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79058" style="width:453.91pt;height:0.480011pt;mso-position-horizontal-relative:char;mso-position-vertical-relative:line" coordsize="57646,60">
                <v:shape id="Shape 395742"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E97547" w:rsidRDefault="00E97547">
      <w:pPr>
        <w:spacing w:after="108" w:line="259" w:lineRule="auto"/>
        <w:ind w:right="819"/>
        <w:jc w:val="right"/>
        <w:rPr>
          <w:rFonts w:ascii="Franklin Gothic Book" w:eastAsia="Franklin Gothic Book" w:hAnsi="Franklin Gothic Book" w:cs="Franklin Gothic Book"/>
          <w:sz w:val="20"/>
        </w:rPr>
      </w:pPr>
    </w:p>
    <w:p w:rsidR="00E97547" w:rsidRDefault="00E97547">
      <w:pPr>
        <w:spacing w:after="108" w:line="259" w:lineRule="auto"/>
        <w:ind w:right="819"/>
        <w:jc w:val="right"/>
        <w:rPr>
          <w:rFonts w:ascii="Franklin Gothic Book" w:eastAsia="Franklin Gothic Book" w:hAnsi="Franklin Gothic Book" w:cs="Franklin Gothic Book"/>
          <w:sz w:val="20"/>
        </w:rPr>
      </w:pPr>
    </w:p>
    <w:p w:rsidR="00E97547" w:rsidRDefault="00E97547">
      <w:pPr>
        <w:spacing w:after="108" w:line="259" w:lineRule="auto"/>
        <w:ind w:right="819"/>
        <w:jc w:val="right"/>
        <w:rPr>
          <w:rFonts w:ascii="Franklin Gothic Book" w:eastAsia="Franklin Gothic Book" w:hAnsi="Franklin Gothic Book" w:cs="Franklin Gothic Book"/>
          <w:sz w:val="20"/>
        </w:rPr>
      </w:pPr>
    </w:p>
    <w:p w:rsidR="00E97547" w:rsidRDefault="00E97547">
      <w:pPr>
        <w:spacing w:after="108" w:line="259" w:lineRule="auto"/>
        <w:ind w:right="819"/>
        <w:jc w:val="right"/>
        <w:rPr>
          <w:rFonts w:ascii="Franklin Gothic Book" w:eastAsia="Franklin Gothic Book" w:hAnsi="Franklin Gothic Book" w:cs="Franklin Gothic Book"/>
          <w:sz w:val="20"/>
        </w:rPr>
      </w:pPr>
    </w:p>
    <w:p w:rsidR="00E97547" w:rsidRDefault="00E97547">
      <w:pPr>
        <w:spacing w:after="108" w:line="259" w:lineRule="auto"/>
        <w:ind w:right="819"/>
        <w:jc w:val="right"/>
        <w:rPr>
          <w:rFonts w:ascii="Franklin Gothic Book" w:eastAsia="Franklin Gothic Book" w:hAnsi="Franklin Gothic Book" w:cs="Franklin Gothic Book"/>
          <w:sz w:val="20"/>
        </w:rPr>
      </w:pPr>
    </w:p>
    <w:p w:rsidR="00E97547" w:rsidRDefault="00E97547">
      <w:pPr>
        <w:spacing w:after="108" w:line="259" w:lineRule="auto"/>
        <w:ind w:right="819"/>
        <w:jc w:val="right"/>
        <w:rPr>
          <w:rFonts w:ascii="Franklin Gothic Book" w:eastAsia="Franklin Gothic Book" w:hAnsi="Franklin Gothic Book" w:cs="Franklin Gothic Book"/>
          <w:sz w:val="20"/>
        </w:rPr>
      </w:pPr>
    </w:p>
    <w:p w:rsidR="00E97547" w:rsidRDefault="00E97547">
      <w:pPr>
        <w:spacing w:after="108" w:line="259" w:lineRule="auto"/>
        <w:ind w:right="819"/>
        <w:jc w:val="right"/>
        <w:rPr>
          <w:rFonts w:ascii="Franklin Gothic Book" w:eastAsia="Franklin Gothic Book" w:hAnsi="Franklin Gothic Book" w:cs="Franklin Gothic Book"/>
          <w:sz w:val="20"/>
        </w:rPr>
      </w:pPr>
    </w:p>
    <w:p w:rsidR="00E97547" w:rsidRDefault="00E97547">
      <w:pPr>
        <w:spacing w:after="108" w:line="259" w:lineRule="auto"/>
        <w:ind w:right="819"/>
        <w:jc w:val="right"/>
        <w:rPr>
          <w:rFonts w:ascii="Franklin Gothic Book" w:eastAsia="Franklin Gothic Book" w:hAnsi="Franklin Gothic Book" w:cs="Franklin Gothic Book"/>
          <w:sz w:val="20"/>
        </w:rPr>
      </w:pPr>
    </w:p>
    <w:p w:rsidR="00E97547" w:rsidRDefault="00E97547">
      <w:pPr>
        <w:spacing w:after="108" w:line="259" w:lineRule="auto"/>
        <w:ind w:right="819"/>
        <w:jc w:val="right"/>
        <w:rPr>
          <w:rFonts w:ascii="Franklin Gothic Book" w:eastAsia="Franklin Gothic Book" w:hAnsi="Franklin Gothic Book" w:cs="Franklin Gothic Book"/>
          <w:sz w:val="20"/>
        </w:rPr>
      </w:pPr>
    </w:p>
    <w:p w:rsidR="001C682A" w:rsidRDefault="00B03C38">
      <w:pPr>
        <w:spacing w:after="108" w:line="259" w:lineRule="auto"/>
        <w:ind w:right="819"/>
        <w:jc w:val="right"/>
      </w:pPr>
      <w:bookmarkStart w:id="30" w:name="_Hlk49582026"/>
      <w:r>
        <w:rPr>
          <w:rFonts w:ascii="Franklin Gothic Book" w:eastAsia="Franklin Gothic Book" w:hAnsi="Franklin Gothic Book" w:cs="Franklin Gothic Book"/>
          <w:sz w:val="20"/>
        </w:rPr>
        <w:t>Table 3.5 FGN Expenditure Performance (Jan – Dec) 2019</w:t>
      </w:r>
      <w:r>
        <w:rPr>
          <w:sz w:val="21"/>
        </w:rPr>
        <w:t xml:space="preserve"> </w:t>
      </w:r>
    </w:p>
    <w:tbl>
      <w:tblPr>
        <w:tblStyle w:val="TableGrid"/>
        <w:tblpPr w:vertAnchor="text" w:tblpX="3590"/>
        <w:tblOverlap w:val="never"/>
        <w:tblW w:w="5735" w:type="dxa"/>
        <w:tblInd w:w="0" w:type="dxa"/>
        <w:tblCellMar>
          <w:top w:w="19" w:type="dxa"/>
          <w:bottom w:w="1" w:type="dxa"/>
        </w:tblCellMar>
        <w:tblLook w:val="04A0" w:firstRow="1" w:lastRow="0" w:firstColumn="1" w:lastColumn="0" w:noHBand="0" w:noVBand="1"/>
      </w:tblPr>
      <w:tblGrid>
        <w:gridCol w:w="337"/>
        <w:gridCol w:w="2572"/>
        <w:gridCol w:w="736"/>
        <w:gridCol w:w="749"/>
        <w:gridCol w:w="761"/>
        <w:gridCol w:w="580"/>
      </w:tblGrid>
      <w:tr w:rsidR="001C682A">
        <w:trPr>
          <w:trHeight w:val="563"/>
        </w:trPr>
        <w:tc>
          <w:tcPr>
            <w:tcW w:w="336" w:type="dxa"/>
            <w:tcBorders>
              <w:top w:val="single" w:sz="3" w:space="0" w:color="000000"/>
              <w:left w:val="single" w:sz="5" w:space="0" w:color="000000"/>
              <w:bottom w:val="single" w:sz="5" w:space="0" w:color="000000"/>
              <w:right w:val="single" w:sz="5" w:space="0" w:color="000000"/>
            </w:tcBorders>
            <w:shd w:val="clear" w:color="auto" w:fill="203764"/>
          </w:tcPr>
          <w:p w:rsidR="001C682A" w:rsidRDefault="001C682A">
            <w:pPr>
              <w:spacing w:after="160" w:line="259" w:lineRule="auto"/>
              <w:ind w:left="0" w:firstLine="0"/>
              <w:jc w:val="left"/>
            </w:pPr>
          </w:p>
        </w:tc>
        <w:tc>
          <w:tcPr>
            <w:tcW w:w="2572" w:type="dxa"/>
            <w:vMerge w:val="restart"/>
            <w:tcBorders>
              <w:top w:val="single" w:sz="3" w:space="0" w:color="000000"/>
              <w:left w:val="single" w:sz="5" w:space="0" w:color="000000"/>
              <w:bottom w:val="single" w:sz="9" w:space="0" w:color="000000"/>
              <w:right w:val="single" w:sz="5" w:space="0" w:color="000000"/>
            </w:tcBorders>
            <w:shd w:val="clear" w:color="auto" w:fill="203764"/>
            <w:vAlign w:val="center"/>
          </w:tcPr>
          <w:p w:rsidR="001C682A" w:rsidRDefault="00B03C38">
            <w:pPr>
              <w:spacing w:after="0" w:line="259" w:lineRule="auto"/>
              <w:ind w:left="0" w:right="2" w:firstLine="0"/>
              <w:jc w:val="center"/>
            </w:pPr>
            <w:r>
              <w:rPr>
                <w:b/>
                <w:color w:val="FFFFFF"/>
                <w:sz w:val="17"/>
              </w:rPr>
              <w:t>Fiscal Items</w:t>
            </w:r>
          </w:p>
        </w:tc>
        <w:tc>
          <w:tcPr>
            <w:tcW w:w="1485" w:type="dxa"/>
            <w:gridSpan w:val="2"/>
            <w:tcBorders>
              <w:top w:val="single" w:sz="3" w:space="0" w:color="000000"/>
              <w:left w:val="single" w:sz="5" w:space="0" w:color="000000"/>
              <w:bottom w:val="single" w:sz="5" w:space="0" w:color="000000"/>
              <w:right w:val="single" w:sz="5" w:space="0" w:color="000000"/>
            </w:tcBorders>
            <w:shd w:val="clear" w:color="auto" w:fill="203764"/>
          </w:tcPr>
          <w:p w:rsidR="001C682A" w:rsidRDefault="00B03C38">
            <w:pPr>
              <w:spacing w:after="0" w:line="259" w:lineRule="auto"/>
              <w:ind w:left="224" w:firstLine="0"/>
              <w:jc w:val="left"/>
            </w:pPr>
            <w:r>
              <w:rPr>
                <w:b/>
                <w:color w:val="FFFFFF"/>
                <w:sz w:val="13"/>
              </w:rPr>
              <w:t xml:space="preserve">2019 </w:t>
            </w:r>
          </w:p>
          <w:p w:rsidR="001C682A" w:rsidRDefault="00B03C38">
            <w:pPr>
              <w:spacing w:after="0" w:line="259" w:lineRule="auto"/>
              <w:ind w:left="0" w:right="125" w:firstLine="0"/>
              <w:jc w:val="right"/>
            </w:pPr>
            <w:r>
              <w:rPr>
                <w:b/>
                <w:color w:val="FFFFFF"/>
                <w:sz w:val="13"/>
              </w:rPr>
              <w:t xml:space="preserve">Actuals </w:t>
            </w:r>
          </w:p>
          <w:p w:rsidR="001C682A" w:rsidRDefault="00B03C38">
            <w:pPr>
              <w:spacing w:after="0" w:line="259" w:lineRule="auto"/>
              <w:ind w:left="55" w:firstLine="0"/>
              <w:jc w:val="left"/>
            </w:pPr>
            <w:r>
              <w:rPr>
                <w:b/>
                <w:color w:val="FFFFFF"/>
                <w:sz w:val="13"/>
              </w:rPr>
              <w:t xml:space="preserve">Approved </w:t>
            </w:r>
          </w:p>
          <w:p w:rsidR="001C682A" w:rsidRDefault="00B03C38">
            <w:pPr>
              <w:spacing w:after="0" w:line="259" w:lineRule="auto"/>
              <w:ind w:left="139" w:firstLine="665"/>
            </w:pPr>
            <w:r>
              <w:rPr>
                <w:b/>
                <w:color w:val="FFFFFF"/>
                <w:sz w:val="13"/>
              </w:rPr>
              <w:t>(Jan-Dec) Budget</w:t>
            </w:r>
          </w:p>
        </w:tc>
        <w:tc>
          <w:tcPr>
            <w:tcW w:w="1341" w:type="dxa"/>
            <w:gridSpan w:val="2"/>
            <w:tcBorders>
              <w:top w:val="single" w:sz="3" w:space="0" w:color="000000"/>
              <w:left w:val="single" w:sz="5" w:space="0" w:color="000000"/>
              <w:bottom w:val="single" w:sz="5" w:space="0" w:color="000000"/>
              <w:right w:val="single" w:sz="4" w:space="0" w:color="000000"/>
            </w:tcBorders>
            <w:shd w:val="clear" w:color="auto" w:fill="203764"/>
            <w:vAlign w:val="center"/>
          </w:tcPr>
          <w:p w:rsidR="001C682A" w:rsidRDefault="00B03C38">
            <w:pPr>
              <w:spacing w:after="0" w:line="259" w:lineRule="auto"/>
              <w:ind w:left="14" w:firstLine="0"/>
              <w:jc w:val="center"/>
            </w:pPr>
            <w:r>
              <w:rPr>
                <w:b/>
                <w:color w:val="FFFFFF"/>
                <w:sz w:val="13"/>
              </w:rPr>
              <w:t>Variance</w:t>
            </w:r>
          </w:p>
        </w:tc>
      </w:tr>
      <w:tr w:rsidR="001C682A">
        <w:trPr>
          <w:trHeight w:val="359"/>
        </w:trPr>
        <w:tc>
          <w:tcPr>
            <w:tcW w:w="336" w:type="dxa"/>
            <w:tcBorders>
              <w:top w:val="single" w:sz="5" w:space="0" w:color="000000"/>
              <w:left w:val="single" w:sz="5" w:space="0" w:color="000000"/>
              <w:bottom w:val="single" w:sz="9" w:space="0" w:color="000000"/>
              <w:right w:val="single" w:sz="5" w:space="0" w:color="000000"/>
            </w:tcBorders>
            <w:shd w:val="clear" w:color="auto" w:fill="203764"/>
          </w:tcPr>
          <w:p w:rsidR="001C682A" w:rsidRDefault="001C682A">
            <w:pPr>
              <w:spacing w:after="160" w:line="259" w:lineRule="auto"/>
              <w:ind w:left="0" w:firstLine="0"/>
              <w:jc w:val="left"/>
            </w:pPr>
          </w:p>
        </w:tc>
        <w:tc>
          <w:tcPr>
            <w:tcW w:w="0" w:type="auto"/>
            <w:vMerge/>
            <w:tcBorders>
              <w:top w:val="nil"/>
              <w:left w:val="single" w:sz="5" w:space="0" w:color="000000"/>
              <w:bottom w:val="single" w:sz="9" w:space="0" w:color="000000"/>
              <w:right w:val="single" w:sz="5" w:space="0" w:color="000000"/>
            </w:tcBorders>
          </w:tcPr>
          <w:p w:rsidR="001C682A" w:rsidRDefault="001C682A">
            <w:pPr>
              <w:spacing w:after="160" w:line="259" w:lineRule="auto"/>
              <w:ind w:left="0" w:firstLine="0"/>
              <w:jc w:val="left"/>
            </w:pPr>
          </w:p>
        </w:tc>
        <w:tc>
          <w:tcPr>
            <w:tcW w:w="1485" w:type="dxa"/>
            <w:gridSpan w:val="2"/>
            <w:tcBorders>
              <w:top w:val="single" w:sz="5" w:space="0" w:color="000000"/>
              <w:left w:val="single" w:sz="5" w:space="0" w:color="000000"/>
              <w:bottom w:val="single" w:sz="9" w:space="0" w:color="000000"/>
              <w:right w:val="single" w:sz="5" w:space="0" w:color="000000"/>
            </w:tcBorders>
            <w:shd w:val="clear" w:color="auto" w:fill="203764"/>
          </w:tcPr>
          <w:p w:rsidR="001C682A" w:rsidRDefault="00B03C38">
            <w:pPr>
              <w:spacing w:line="259" w:lineRule="auto"/>
              <w:ind w:left="43" w:firstLine="0"/>
              <w:jc w:val="left"/>
            </w:pPr>
            <w:r>
              <w:rPr>
                <w:b/>
                <w:color w:val="FFFFFF"/>
                <w:sz w:val="13"/>
              </w:rPr>
              <w:t xml:space="preserve">Billions of </w:t>
            </w:r>
          </w:p>
          <w:p w:rsidR="001C682A" w:rsidRDefault="00B03C38">
            <w:pPr>
              <w:spacing w:after="0" w:line="259" w:lineRule="auto"/>
              <w:ind w:left="211" w:firstLine="0"/>
              <w:jc w:val="left"/>
            </w:pPr>
            <w:r>
              <w:rPr>
                <w:b/>
                <w:color w:val="FFFFFF"/>
                <w:sz w:val="13"/>
              </w:rPr>
              <w:t>Naira</w:t>
            </w:r>
          </w:p>
        </w:tc>
        <w:tc>
          <w:tcPr>
            <w:tcW w:w="1341" w:type="dxa"/>
            <w:gridSpan w:val="2"/>
            <w:tcBorders>
              <w:top w:val="single" w:sz="5" w:space="0" w:color="000000"/>
              <w:left w:val="single" w:sz="5" w:space="0" w:color="000000"/>
              <w:bottom w:val="single" w:sz="9" w:space="0" w:color="000000"/>
              <w:right w:val="single" w:sz="4" w:space="0" w:color="000000"/>
            </w:tcBorders>
            <w:shd w:val="clear" w:color="auto" w:fill="203764"/>
          </w:tcPr>
          <w:p w:rsidR="001C682A" w:rsidRDefault="00B03C38">
            <w:pPr>
              <w:spacing w:after="22" w:line="259" w:lineRule="auto"/>
              <w:ind w:left="55" w:firstLine="0"/>
              <w:jc w:val="left"/>
            </w:pPr>
            <w:r>
              <w:rPr>
                <w:b/>
                <w:color w:val="FFFFFF"/>
                <w:sz w:val="13"/>
              </w:rPr>
              <w:t xml:space="preserve">Billions of </w:t>
            </w:r>
          </w:p>
          <w:p w:rsidR="001C682A" w:rsidRDefault="00B03C38">
            <w:pPr>
              <w:tabs>
                <w:tab w:val="center" w:pos="388"/>
                <w:tab w:val="center" w:pos="1056"/>
              </w:tabs>
              <w:spacing w:after="0" w:line="259" w:lineRule="auto"/>
              <w:ind w:left="0" w:firstLine="0"/>
              <w:jc w:val="left"/>
            </w:pPr>
            <w:r>
              <w:rPr>
                <w:rFonts w:ascii="Calibri" w:eastAsia="Calibri" w:hAnsi="Calibri" w:cs="Calibri"/>
              </w:rPr>
              <w:tab/>
            </w:r>
            <w:r>
              <w:rPr>
                <w:b/>
                <w:color w:val="FFFFFF"/>
                <w:sz w:val="13"/>
              </w:rPr>
              <w:t>Naira</w:t>
            </w:r>
            <w:r>
              <w:rPr>
                <w:b/>
                <w:color w:val="FFFFFF"/>
                <w:sz w:val="13"/>
              </w:rPr>
              <w:tab/>
              <w:t>%</w:t>
            </w:r>
          </w:p>
        </w:tc>
      </w:tr>
      <w:tr w:rsidR="001C682A">
        <w:trPr>
          <w:trHeight w:val="185"/>
        </w:trPr>
        <w:tc>
          <w:tcPr>
            <w:tcW w:w="336" w:type="dxa"/>
            <w:tcBorders>
              <w:top w:val="single" w:sz="9" w:space="0" w:color="000000"/>
              <w:left w:val="single" w:sz="5" w:space="0" w:color="000000"/>
              <w:bottom w:val="single" w:sz="5" w:space="0" w:color="000000"/>
              <w:right w:val="single" w:sz="5" w:space="0" w:color="000000"/>
            </w:tcBorders>
            <w:shd w:val="clear" w:color="auto" w:fill="D0CECE"/>
          </w:tcPr>
          <w:p w:rsidR="001C682A" w:rsidRDefault="00B03C38">
            <w:pPr>
              <w:spacing w:after="0" w:line="259" w:lineRule="auto"/>
              <w:ind w:left="29" w:firstLine="0"/>
              <w:jc w:val="left"/>
            </w:pPr>
            <w:r>
              <w:rPr>
                <w:b/>
                <w:sz w:val="13"/>
              </w:rPr>
              <w:t>S/N</w:t>
            </w:r>
          </w:p>
        </w:tc>
        <w:tc>
          <w:tcPr>
            <w:tcW w:w="2572" w:type="dxa"/>
            <w:tcBorders>
              <w:top w:val="single" w:sz="9" w:space="0" w:color="000000"/>
              <w:left w:val="single" w:sz="5" w:space="0" w:color="000000"/>
              <w:bottom w:val="single" w:sz="5" w:space="0" w:color="000000"/>
              <w:right w:val="single" w:sz="5" w:space="0" w:color="000000"/>
            </w:tcBorders>
            <w:shd w:val="clear" w:color="auto" w:fill="D0CECE"/>
          </w:tcPr>
          <w:p w:rsidR="001C682A" w:rsidRDefault="00B03C38">
            <w:pPr>
              <w:spacing w:after="0" w:line="259" w:lineRule="auto"/>
              <w:ind w:left="30" w:firstLine="0"/>
              <w:jc w:val="left"/>
            </w:pPr>
            <w:r>
              <w:rPr>
                <w:b/>
                <w:sz w:val="13"/>
              </w:rPr>
              <w:t>FGN EXPENDITURE</w:t>
            </w:r>
          </w:p>
        </w:tc>
        <w:tc>
          <w:tcPr>
            <w:tcW w:w="736" w:type="dxa"/>
            <w:tcBorders>
              <w:top w:val="single" w:sz="9" w:space="0" w:color="000000"/>
              <w:left w:val="single" w:sz="5" w:space="0" w:color="000000"/>
              <w:bottom w:val="single" w:sz="5" w:space="0" w:color="000000"/>
              <w:right w:val="single" w:sz="5" w:space="0" w:color="000000"/>
            </w:tcBorders>
            <w:shd w:val="clear" w:color="auto" w:fill="D0CECE"/>
          </w:tcPr>
          <w:p w:rsidR="001C682A" w:rsidRDefault="00B03C38">
            <w:pPr>
              <w:spacing w:after="0" w:line="259" w:lineRule="auto"/>
              <w:ind w:left="55" w:firstLine="0"/>
            </w:pPr>
            <w:r>
              <w:rPr>
                <w:b/>
                <w:sz w:val="13"/>
              </w:rPr>
              <w:t xml:space="preserve">   8,916.96 </w:t>
            </w:r>
          </w:p>
        </w:tc>
        <w:tc>
          <w:tcPr>
            <w:tcW w:w="749" w:type="dxa"/>
            <w:tcBorders>
              <w:top w:val="single" w:sz="9" w:space="0" w:color="000000"/>
              <w:left w:val="single" w:sz="5" w:space="0" w:color="000000"/>
              <w:bottom w:val="single" w:sz="5" w:space="0" w:color="000000"/>
              <w:right w:val="single" w:sz="5" w:space="0" w:color="000000"/>
            </w:tcBorders>
            <w:shd w:val="clear" w:color="auto" w:fill="D0CECE"/>
          </w:tcPr>
          <w:p w:rsidR="001C682A" w:rsidRDefault="00B03C38">
            <w:pPr>
              <w:spacing w:after="0" w:line="259" w:lineRule="auto"/>
              <w:ind w:left="43" w:firstLine="0"/>
            </w:pPr>
            <w:r>
              <w:rPr>
                <w:b/>
                <w:sz w:val="13"/>
              </w:rPr>
              <w:t xml:space="preserve">    8,298.82 </w:t>
            </w:r>
          </w:p>
        </w:tc>
        <w:tc>
          <w:tcPr>
            <w:tcW w:w="1341" w:type="dxa"/>
            <w:gridSpan w:val="2"/>
            <w:tcBorders>
              <w:top w:val="single" w:sz="9" w:space="0" w:color="000000"/>
              <w:left w:val="single" w:sz="5" w:space="0" w:color="000000"/>
              <w:bottom w:val="single" w:sz="5" w:space="0" w:color="000000"/>
              <w:right w:val="single" w:sz="4" w:space="0" w:color="000000"/>
            </w:tcBorders>
            <w:shd w:val="clear" w:color="auto" w:fill="D0CECE"/>
          </w:tcPr>
          <w:p w:rsidR="001C682A" w:rsidRDefault="00B03C38">
            <w:pPr>
              <w:tabs>
                <w:tab w:val="right" w:pos="1341"/>
              </w:tabs>
              <w:spacing w:after="0" w:line="259" w:lineRule="auto"/>
              <w:ind w:left="0" w:firstLine="0"/>
              <w:jc w:val="left"/>
            </w:pPr>
            <w:r>
              <w:rPr>
                <w:b/>
                <w:sz w:val="13"/>
              </w:rPr>
              <w:t xml:space="preserve">       618.15 </w:t>
            </w:r>
            <w:r>
              <w:rPr>
                <w:b/>
                <w:sz w:val="13"/>
              </w:rPr>
              <w:tab/>
              <w:t>6.9%</w:t>
            </w:r>
          </w:p>
        </w:tc>
      </w:tr>
      <w:tr w:rsidR="001C682A">
        <w:trPr>
          <w:trHeight w:val="180"/>
        </w:trPr>
        <w:tc>
          <w:tcPr>
            <w:tcW w:w="3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0" w:right="31" w:firstLine="0"/>
              <w:jc w:val="right"/>
            </w:pPr>
            <w:r>
              <w:rPr>
                <w:b/>
                <w:sz w:val="13"/>
              </w:rPr>
              <w:t>A</w:t>
            </w:r>
          </w:p>
        </w:tc>
        <w:tc>
          <w:tcPr>
            <w:tcW w:w="2572"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jc w:val="left"/>
            </w:pPr>
            <w:r>
              <w:rPr>
                <w:b/>
                <w:sz w:val="13"/>
              </w:rPr>
              <w:t>Statutory Transfers</w:t>
            </w:r>
          </w:p>
        </w:tc>
        <w:tc>
          <w:tcPr>
            <w:tcW w:w="7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jc w:val="left"/>
            </w:pPr>
            <w:r>
              <w:rPr>
                <w:b/>
                <w:sz w:val="13"/>
              </w:rPr>
              <w:t xml:space="preserve">      502.06 </w:t>
            </w:r>
          </w:p>
        </w:tc>
        <w:tc>
          <w:tcPr>
            <w:tcW w:w="749"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1" w:firstLine="0"/>
            </w:pPr>
            <w:r>
              <w:rPr>
                <w:b/>
                <w:sz w:val="13"/>
              </w:rPr>
              <w:t xml:space="preserve">       428.46 </w:t>
            </w:r>
          </w:p>
        </w:tc>
        <w:tc>
          <w:tcPr>
            <w:tcW w:w="761"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pPr>
            <w:r>
              <w:rPr>
                <w:b/>
                <w:sz w:val="13"/>
              </w:rPr>
              <w:t xml:space="preserve">         73.60 </w:t>
            </w:r>
          </w:p>
        </w:tc>
        <w:tc>
          <w:tcPr>
            <w:tcW w:w="580" w:type="dxa"/>
            <w:tcBorders>
              <w:top w:val="single" w:sz="5" w:space="0" w:color="000000"/>
              <w:left w:val="single" w:sz="5" w:space="0" w:color="000000"/>
              <w:bottom w:val="single" w:sz="5" w:space="0" w:color="000000"/>
              <w:right w:val="single" w:sz="4" w:space="0" w:color="000000"/>
            </w:tcBorders>
          </w:tcPr>
          <w:p w:rsidR="001C682A" w:rsidRDefault="00B03C38">
            <w:pPr>
              <w:spacing w:after="0" w:line="259" w:lineRule="auto"/>
              <w:ind w:left="0" w:right="21" w:firstLine="0"/>
              <w:jc w:val="right"/>
            </w:pPr>
            <w:r>
              <w:rPr>
                <w:sz w:val="13"/>
              </w:rPr>
              <w:t>14.7%</w:t>
            </w:r>
          </w:p>
        </w:tc>
      </w:tr>
      <w:tr w:rsidR="001C682A">
        <w:trPr>
          <w:trHeight w:val="181"/>
        </w:trPr>
        <w:tc>
          <w:tcPr>
            <w:tcW w:w="3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0" w:right="31" w:firstLine="0"/>
              <w:jc w:val="right"/>
            </w:pPr>
            <w:r>
              <w:rPr>
                <w:b/>
                <w:sz w:val="13"/>
              </w:rPr>
              <w:t>B</w:t>
            </w:r>
          </w:p>
        </w:tc>
        <w:tc>
          <w:tcPr>
            <w:tcW w:w="2572"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jc w:val="left"/>
            </w:pPr>
            <w:r>
              <w:rPr>
                <w:b/>
                <w:sz w:val="13"/>
              </w:rPr>
              <w:t>Recurrent Expenditure</w:t>
            </w:r>
          </w:p>
        </w:tc>
        <w:tc>
          <w:tcPr>
            <w:tcW w:w="7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pPr>
            <w:r>
              <w:rPr>
                <w:b/>
                <w:sz w:val="13"/>
              </w:rPr>
              <w:t xml:space="preserve">   6,319.95 </w:t>
            </w:r>
          </w:p>
        </w:tc>
        <w:tc>
          <w:tcPr>
            <w:tcW w:w="749"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1" w:firstLine="0"/>
            </w:pPr>
            <w:r>
              <w:rPr>
                <w:b/>
                <w:sz w:val="13"/>
              </w:rPr>
              <w:t xml:space="preserve">    6,704.85 </w:t>
            </w:r>
          </w:p>
        </w:tc>
        <w:tc>
          <w:tcPr>
            <w:tcW w:w="761"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jc w:val="left"/>
            </w:pPr>
            <w:r>
              <w:rPr>
                <w:b/>
                <w:sz w:val="13"/>
              </w:rPr>
              <w:t xml:space="preserve">     (384.90)</w:t>
            </w:r>
          </w:p>
        </w:tc>
        <w:tc>
          <w:tcPr>
            <w:tcW w:w="580" w:type="dxa"/>
            <w:tcBorders>
              <w:top w:val="single" w:sz="5" w:space="0" w:color="000000"/>
              <w:left w:val="single" w:sz="5" w:space="0" w:color="000000"/>
              <w:bottom w:val="single" w:sz="5" w:space="0" w:color="000000"/>
              <w:right w:val="single" w:sz="4" w:space="0" w:color="000000"/>
            </w:tcBorders>
          </w:tcPr>
          <w:p w:rsidR="001C682A" w:rsidRDefault="00B03C38">
            <w:pPr>
              <w:spacing w:after="0" w:line="259" w:lineRule="auto"/>
              <w:ind w:left="0" w:right="21" w:firstLine="0"/>
              <w:jc w:val="right"/>
            </w:pPr>
            <w:r>
              <w:rPr>
                <w:b/>
                <w:sz w:val="13"/>
              </w:rPr>
              <w:t>-6.1%</w:t>
            </w:r>
          </w:p>
        </w:tc>
      </w:tr>
      <w:tr w:rsidR="001C682A">
        <w:trPr>
          <w:trHeight w:val="181"/>
        </w:trPr>
        <w:tc>
          <w:tcPr>
            <w:tcW w:w="3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0" w:right="28" w:firstLine="0"/>
              <w:jc w:val="right"/>
            </w:pPr>
            <w:r>
              <w:rPr>
                <w:sz w:val="13"/>
              </w:rPr>
              <w:t>1</w:t>
            </w:r>
          </w:p>
        </w:tc>
        <w:tc>
          <w:tcPr>
            <w:tcW w:w="2572"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139" w:firstLine="0"/>
              <w:jc w:val="left"/>
            </w:pPr>
            <w:r>
              <w:rPr>
                <w:b/>
                <w:sz w:val="13"/>
              </w:rPr>
              <w:t>Non-Debt Recurrent Expenditure</w:t>
            </w:r>
          </w:p>
        </w:tc>
        <w:tc>
          <w:tcPr>
            <w:tcW w:w="7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pPr>
            <w:r>
              <w:rPr>
                <w:b/>
                <w:sz w:val="13"/>
              </w:rPr>
              <w:t xml:space="preserve">   4,065.94 </w:t>
            </w:r>
          </w:p>
        </w:tc>
        <w:tc>
          <w:tcPr>
            <w:tcW w:w="749"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1" w:firstLine="0"/>
            </w:pPr>
            <w:r>
              <w:rPr>
                <w:b/>
                <w:sz w:val="13"/>
              </w:rPr>
              <w:t xml:space="preserve">    4,251.11 </w:t>
            </w:r>
          </w:p>
        </w:tc>
        <w:tc>
          <w:tcPr>
            <w:tcW w:w="761"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jc w:val="left"/>
            </w:pPr>
            <w:r>
              <w:rPr>
                <w:b/>
                <w:sz w:val="13"/>
              </w:rPr>
              <w:t xml:space="preserve">     (185.17)</w:t>
            </w:r>
          </w:p>
        </w:tc>
        <w:tc>
          <w:tcPr>
            <w:tcW w:w="580" w:type="dxa"/>
            <w:tcBorders>
              <w:top w:val="single" w:sz="5" w:space="0" w:color="000000"/>
              <w:left w:val="single" w:sz="5" w:space="0" w:color="000000"/>
              <w:bottom w:val="single" w:sz="5" w:space="0" w:color="000000"/>
              <w:right w:val="single" w:sz="4" w:space="0" w:color="000000"/>
            </w:tcBorders>
          </w:tcPr>
          <w:p w:rsidR="001C682A" w:rsidRDefault="00B03C38">
            <w:pPr>
              <w:spacing w:after="0" w:line="259" w:lineRule="auto"/>
              <w:ind w:left="0" w:right="21" w:firstLine="0"/>
              <w:jc w:val="right"/>
            </w:pPr>
            <w:r>
              <w:rPr>
                <w:b/>
                <w:sz w:val="13"/>
              </w:rPr>
              <w:t>-4.6%</w:t>
            </w:r>
          </w:p>
        </w:tc>
      </w:tr>
      <w:tr w:rsidR="001C682A">
        <w:trPr>
          <w:trHeight w:val="181"/>
        </w:trPr>
        <w:tc>
          <w:tcPr>
            <w:tcW w:w="3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0" w:right="28" w:firstLine="0"/>
              <w:jc w:val="right"/>
            </w:pPr>
            <w:r>
              <w:rPr>
                <w:sz w:val="13"/>
              </w:rPr>
              <w:t>a</w:t>
            </w:r>
          </w:p>
        </w:tc>
        <w:tc>
          <w:tcPr>
            <w:tcW w:w="2572"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248" w:firstLine="0"/>
              <w:jc w:val="left"/>
            </w:pPr>
            <w:r>
              <w:rPr>
                <w:sz w:val="13"/>
              </w:rPr>
              <w:t>Personnel Costs</w:t>
            </w:r>
          </w:p>
        </w:tc>
        <w:tc>
          <w:tcPr>
            <w:tcW w:w="7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pPr>
            <w:r>
              <w:rPr>
                <w:sz w:val="13"/>
              </w:rPr>
              <w:t xml:space="preserve">   2,288.57 </w:t>
            </w:r>
          </w:p>
        </w:tc>
        <w:tc>
          <w:tcPr>
            <w:tcW w:w="749"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1" w:firstLine="0"/>
            </w:pPr>
            <w:r>
              <w:rPr>
                <w:sz w:val="13"/>
              </w:rPr>
              <w:t xml:space="preserve">    2,288.58 </w:t>
            </w:r>
          </w:p>
        </w:tc>
        <w:tc>
          <w:tcPr>
            <w:tcW w:w="761"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43" w:firstLine="0"/>
              <w:jc w:val="left"/>
            </w:pPr>
            <w:r>
              <w:rPr>
                <w:sz w:val="13"/>
              </w:rPr>
              <w:t xml:space="preserve">         (0.00)</w:t>
            </w:r>
          </w:p>
        </w:tc>
        <w:tc>
          <w:tcPr>
            <w:tcW w:w="580" w:type="dxa"/>
            <w:tcBorders>
              <w:top w:val="single" w:sz="5" w:space="0" w:color="000000"/>
              <w:left w:val="single" w:sz="5" w:space="0" w:color="000000"/>
              <w:bottom w:val="single" w:sz="5" w:space="0" w:color="000000"/>
              <w:right w:val="single" w:sz="4" w:space="0" w:color="000000"/>
            </w:tcBorders>
          </w:tcPr>
          <w:p w:rsidR="001C682A" w:rsidRDefault="00B03C38">
            <w:pPr>
              <w:spacing w:after="0" w:line="259" w:lineRule="auto"/>
              <w:ind w:left="0" w:right="21" w:firstLine="0"/>
              <w:jc w:val="right"/>
            </w:pPr>
            <w:r>
              <w:rPr>
                <w:sz w:val="13"/>
              </w:rPr>
              <w:t>0.0%</w:t>
            </w:r>
          </w:p>
        </w:tc>
      </w:tr>
      <w:tr w:rsidR="001C682A">
        <w:trPr>
          <w:trHeight w:val="362"/>
        </w:trPr>
        <w:tc>
          <w:tcPr>
            <w:tcW w:w="3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0" w:right="28" w:firstLine="0"/>
              <w:jc w:val="right"/>
            </w:pPr>
            <w:r>
              <w:rPr>
                <w:sz w:val="13"/>
              </w:rPr>
              <w:t>b</w:t>
            </w:r>
          </w:p>
        </w:tc>
        <w:tc>
          <w:tcPr>
            <w:tcW w:w="2572"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248" w:firstLine="0"/>
            </w:pPr>
            <w:r>
              <w:rPr>
                <w:sz w:val="13"/>
              </w:rPr>
              <w:t>Pensions &amp; Gratuities including Service wide pension</w:t>
            </w:r>
          </w:p>
        </w:tc>
        <w:tc>
          <w:tcPr>
            <w:tcW w:w="7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jc w:val="left"/>
            </w:pPr>
            <w:r>
              <w:rPr>
                <w:sz w:val="13"/>
              </w:rPr>
              <w:t xml:space="preserve">      528.07 </w:t>
            </w:r>
          </w:p>
        </w:tc>
        <w:tc>
          <w:tcPr>
            <w:tcW w:w="749"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1" w:firstLine="0"/>
            </w:pPr>
            <w:r>
              <w:rPr>
                <w:sz w:val="13"/>
              </w:rPr>
              <w:t xml:space="preserve">       307.38 </w:t>
            </w:r>
          </w:p>
        </w:tc>
        <w:tc>
          <w:tcPr>
            <w:tcW w:w="761"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pPr>
            <w:r>
              <w:rPr>
                <w:sz w:val="13"/>
              </w:rPr>
              <w:t xml:space="preserve">       220.69 </w:t>
            </w:r>
          </w:p>
        </w:tc>
        <w:tc>
          <w:tcPr>
            <w:tcW w:w="580" w:type="dxa"/>
            <w:tcBorders>
              <w:top w:val="single" w:sz="5" w:space="0" w:color="000000"/>
              <w:left w:val="single" w:sz="5" w:space="0" w:color="000000"/>
              <w:bottom w:val="single" w:sz="5" w:space="0" w:color="000000"/>
              <w:right w:val="single" w:sz="4" w:space="0" w:color="000000"/>
            </w:tcBorders>
          </w:tcPr>
          <w:p w:rsidR="001C682A" w:rsidRDefault="00B03C38">
            <w:pPr>
              <w:spacing w:after="0" w:line="259" w:lineRule="auto"/>
              <w:ind w:left="0" w:right="21" w:firstLine="0"/>
              <w:jc w:val="right"/>
            </w:pPr>
            <w:r>
              <w:rPr>
                <w:sz w:val="13"/>
              </w:rPr>
              <w:t>41.8%</w:t>
            </w:r>
          </w:p>
        </w:tc>
      </w:tr>
      <w:tr w:rsidR="001C682A">
        <w:trPr>
          <w:trHeight w:val="181"/>
        </w:trPr>
        <w:tc>
          <w:tcPr>
            <w:tcW w:w="3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0" w:right="25" w:firstLine="0"/>
              <w:jc w:val="right"/>
            </w:pPr>
            <w:r>
              <w:rPr>
                <w:sz w:val="13"/>
              </w:rPr>
              <w:t>ii</w:t>
            </w:r>
          </w:p>
        </w:tc>
        <w:tc>
          <w:tcPr>
            <w:tcW w:w="2572"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248" w:firstLine="0"/>
              <w:jc w:val="left"/>
            </w:pPr>
            <w:r>
              <w:rPr>
                <w:sz w:val="13"/>
              </w:rPr>
              <w:t>Overheads</w:t>
            </w:r>
          </w:p>
        </w:tc>
        <w:tc>
          <w:tcPr>
            <w:tcW w:w="7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jc w:val="left"/>
            </w:pPr>
            <w:r>
              <w:rPr>
                <w:sz w:val="13"/>
              </w:rPr>
              <w:t xml:space="preserve">      268.13 </w:t>
            </w:r>
          </w:p>
        </w:tc>
        <w:tc>
          <w:tcPr>
            <w:tcW w:w="749"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1" w:firstLine="0"/>
            </w:pPr>
            <w:r>
              <w:rPr>
                <w:sz w:val="13"/>
              </w:rPr>
              <w:t xml:space="preserve">       250.24 </w:t>
            </w:r>
          </w:p>
        </w:tc>
        <w:tc>
          <w:tcPr>
            <w:tcW w:w="761"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55" w:firstLine="0"/>
              <w:jc w:val="left"/>
            </w:pPr>
            <w:r>
              <w:rPr>
                <w:sz w:val="13"/>
              </w:rPr>
              <w:t xml:space="preserve">         17.89 </w:t>
            </w:r>
          </w:p>
        </w:tc>
        <w:tc>
          <w:tcPr>
            <w:tcW w:w="580" w:type="dxa"/>
            <w:tcBorders>
              <w:top w:val="single" w:sz="5" w:space="0" w:color="000000"/>
              <w:left w:val="single" w:sz="5" w:space="0" w:color="000000"/>
              <w:bottom w:val="single" w:sz="5" w:space="0" w:color="000000"/>
              <w:right w:val="single" w:sz="4" w:space="0" w:color="000000"/>
            </w:tcBorders>
          </w:tcPr>
          <w:p w:rsidR="001C682A" w:rsidRDefault="00B03C38">
            <w:pPr>
              <w:spacing w:after="0" w:line="259" w:lineRule="auto"/>
              <w:ind w:left="0" w:right="21" w:firstLine="0"/>
              <w:jc w:val="right"/>
            </w:pPr>
            <w:r>
              <w:rPr>
                <w:sz w:val="13"/>
              </w:rPr>
              <w:t>6.7%</w:t>
            </w:r>
          </w:p>
        </w:tc>
      </w:tr>
      <w:tr w:rsidR="001C682A">
        <w:trPr>
          <w:trHeight w:val="181"/>
        </w:trPr>
        <w:tc>
          <w:tcPr>
            <w:tcW w:w="3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0" w:right="25" w:firstLine="0"/>
              <w:jc w:val="right"/>
            </w:pPr>
            <w:r>
              <w:rPr>
                <w:sz w:val="13"/>
              </w:rPr>
              <w:t>iii</w:t>
            </w:r>
          </w:p>
        </w:tc>
        <w:tc>
          <w:tcPr>
            <w:tcW w:w="2572"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248" w:firstLine="0"/>
              <w:jc w:val="left"/>
            </w:pPr>
            <w:r>
              <w:rPr>
                <w:sz w:val="13"/>
              </w:rPr>
              <w:t>Service Wide Votes</w:t>
            </w:r>
          </w:p>
        </w:tc>
        <w:tc>
          <w:tcPr>
            <w:tcW w:w="7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jc w:val="left"/>
            </w:pPr>
            <w:r>
              <w:rPr>
                <w:sz w:val="13"/>
              </w:rPr>
              <w:t xml:space="preserve">      364.55 </w:t>
            </w:r>
          </w:p>
        </w:tc>
        <w:tc>
          <w:tcPr>
            <w:tcW w:w="749"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1" w:firstLine="0"/>
            </w:pPr>
            <w:r>
              <w:rPr>
                <w:sz w:val="13"/>
              </w:rPr>
              <w:t xml:space="preserve">       354.55 </w:t>
            </w:r>
          </w:p>
        </w:tc>
        <w:tc>
          <w:tcPr>
            <w:tcW w:w="761"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55" w:firstLine="0"/>
              <w:jc w:val="left"/>
            </w:pPr>
            <w:r>
              <w:rPr>
                <w:sz w:val="13"/>
              </w:rPr>
              <w:t xml:space="preserve">         10.00 </w:t>
            </w:r>
          </w:p>
        </w:tc>
        <w:tc>
          <w:tcPr>
            <w:tcW w:w="580" w:type="dxa"/>
            <w:tcBorders>
              <w:top w:val="single" w:sz="5" w:space="0" w:color="000000"/>
              <w:left w:val="single" w:sz="5" w:space="0" w:color="000000"/>
              <w:bottom w:val="single" w:sz="5" w:space="0" w:color="000000"/>
              <w:right w:val="single" w:sz="4" w:space="0" w:color="000000"/>
            </w:tcBorders>
          </w:tcPr>
          <w:p w:rsidR="001C682A" w:rsidRDefault="00B03C38">
            <w:pPr>
              <w:spacing w:after="0" w:line="259" w:lineRule="auto"/>
              <w:ind w:left="0" w:right="21" w:firstLine="0"/>
              <w:jc w:val="right"/>
            </w:pPr>
            <w:r>
              <w:rPr>
                <w:sz w:val="13"/>
              </w:rPr>
              <w:t>2.7%</w:t>
            </w:r>
          </w:p>
        </w:tc>
      </w:tr>
      <w:tr w:rsidR="001C682A">
        <w:trPr>
          <w:trHeight w:val="181"/>
        </w:trPr>
        <w:tc>
          <w:tcPr>
            <w:tcW w:w="3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0" w:right="36" w:firstLine="0"/>
              <w:jc w:val="right"/>
            </w:pPr>
            <w:r>
              <w:rPr>
                <w:sz w:val="13"/>
              </w:rPr>
              <w:t>iv</w:t>
            </w:r>
          </w:p>
        </w:tc>
        <w:tc>
          <w:tcPr>
            <w:tcW w:w="2572"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248" w:firstLine="0"/>
              <w:jc w:val="left"/>
            </w:pPr>
            <w:r>
              <w:rPr>
                <w:sz w:val="13"/>
              </w:rPr>
              <w:t>Presidential Amnesty</w:t>
            </w:r>
          </w:p>
        </w:tc>
        <w:tc>
          <w:tcPr>
            <w:tcW w:w="7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jc w:val="left"/>
            </w:pPr>
            <w:r>
              <w:rPr>
                <w:sz w:val="13"/>
              </w:rPr>
              <w:t xml:space="preserve">        65.00 </w:t>
            </w:r>
          </w:p>
        </w:tc>
        <w:tc>
          <w:tcPr>
            <w:tcW w:w="749"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1" w:firstLine="0"/>
            </w:pPr>
            <w:r>
              <w:rPr>
                <w:sz w:val="13"/>
              </w:rPr>
              <w:t xml:space="preserve">         65.00 </w:t>
            </w:r>
          </w:p>
        </w:tc>
        <w:tc>
          <w:tcPr>
            <w:tcW w:w="761"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0" w:right="94" w:firstLine="0"/>
              <w:jc w:val="right"/>
            </w:pPr>
            <w:r>
              <w:rPr>
                <w:sz w:val="13"/>
              </w:rPr>
              <w:t xml:space="preserve">               -  </w:t>
            </w:r>
          </w:p>
        </w:tc>
        <w:tc>
          <w:tcPr>
            <w:tcW w:w="580" w:type="dxa"/>
            <w:tcBorders>
              <w:top w:val="single" w:sz="5" w:space="0" w:color="000000"/>
              <w:left w:val="single" w:sz="5" w:space="0" w:color="000000"/>
              <w:bottom w:val="single" w:sz="5" w:space="0" w:color="000000"/>
              <w:right w:val="single" w:sz="4" w:space="0" w:color="000000"/>
            </w:tcBorders>
          </w:tcPr>
          <w:p w:rsidR="001C682A" w:rsidRDefault="00B03C38">
            <w:pPr>
              <w:tabs>
                <w:tab w:val="right" w:pos="580"/>
              </w:tabs>
              <w:spacing w:after="0" w:line="259" w:lineRule="auto"/>
              <w:ind w:left="-18" w:firstLine="0"/>
              <w:jc w:val="left"/>
            </w:pPr>
            <w:r>
              <w:rPr>
                <w:sz w:val="13"/>
              </w:rPr>
              <w:t xml:space="preserve"> </w:t>
            </w:r>
            <w:r>
              <w:rPr>
                <w:sz w:val="13"/>
              </w:rPr>
              <w:tab/>
              <w:t>0.0%</w:t>
            </w:r>
          </w:p>
        </w:tc>
      </w:tr>
      <w:tr w:rsidR="001C682A">
        <w:trPr>
          <w:trHeight w:val="181"/>
        </w:trPr>
        <w:tc>
          <w:tcPr>
            <w:tcW w:w="3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0" w:right="36" w:firstLine="0"/>
              <w:jc w:val="right"/>
            </w:pPr>
            <w:r>
              <w:rPr>
                <w:sz w:val="13"/>
              </w:rPr>
              <w:t>v</w:t>
            </w:r>
          </w:p>
        </w:tc>
        <w:tc>
          <w:tcPr>
            <w:tcW w:w="2572"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248" w:firstLine="0"/>
              <w:jc w:val="left"/>
            </w:pPr>
            <w:r>
              <w:rPr>
                <w:sz w:val="13"/>
              </w:rPr>
              <w:t>Special Intervention Programme</w:t>
            </w:r>
          </w:p>
        </w:tc>
        <w:tc>
          <w:tcPr>
            <w:tcW w:w="7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jc w:val="left"/>
            </w:pPr>
            <w:r>
              <w:rPr>
                <w:sz w:val="13"/>
              </w:rPr>
              <w:t xml:space="preserve">      350.00 </w:t>
            </w:r>
          </w:p>
        </w:tc>
        <w:tc>
          <w:tcPr>
            <w:tcW w:w="749"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1" w:firstLine="0"/>
            </w:pPr>
            <w:r>
              <w:rPr>
                <w:sz w:val="13"/>
              </w:rPr>
              <w:t xml:space="preserve">       340.43 </w:t>
            </w:r>
          </w:p>
        </w:tc>
        <w:tc>
          <w:tcPr>
            <w:tcW w:w="761"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55" w:firstLine="0"/>
              <w:jc w:val="left"/>
            </w:pPr>
            <w:r>
              <w:rPr>
                <w:sz w:val="13"/>
              </w:rPr>
              <w:t xml:space="preserve">           9.57 </w:t>
            </w:r>
          </w:p>
        </w:tc>
        <w:tc>
          <w:tcPr>
            <w:tcW w:w="580" w:type="dxa"/>
            <w:tcBorders>
              <w:top w:val="single" w:sz="5" w:space="0" w:color="000000"/>
              <w:left w:val="single" w:sz="5" w:space="0" w:color="000000"/>
              <w:bottom w:val="single" w:sz="5" w:space="0" w:color="000000"/>
              <w:right w:val="single" w:sz="4" w:space="0" w:color="000000"/>
            </w:tcBorders>
          </w:tcPr>
          <w:p w:rsidR="001C682A" w:rsidRDefault="00B03C38">
            <w:pPr>
              <w:spacing w:after="0" w:line="259" w:lineRule="auto"/>
              <w:ind w:left="0" w:right="21" w:firstLine="0"/>
              <w:jc w:val="right"/>
            </w:pPr>
            <w:r>
              <w:rPr>
                <w:sz w:val="13"/>
              </w:rPr>
              <w:t>2.7%</w:t>
            </w:r>
          </w:p>
        </w:tc>
      </w:tr>
      <w:tr w:rsidR="001C682A">
        <w:trPr>
          <w:trHeight w:val="362"/>
        </w:trPr>
        <w:tc>
          <w:tcPr>
            <w:tcW w:w="3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0" w:right="25" w:firstLine="0"/>
              <w:jc w:val="right"/>
            </w:pPr>
            <w:r>
              <w:rPr>
                <w:sz w:val="13"/>
              </w:rPr>
              <w:t>vi</w:t>
            </w:r>
          </w:p>
        </w:tc>
        <w:tc>
          <w:tcPr>
            <w:tcW w:w="2572" w:type="dxa"/>
            <w:tcBorders>
              <w:top w:val="single" w:sz="5" w:space="0" w:color="000000"/>
              <w:left w:val="single" w:sz="5" w:space="0" w:color="000000"/>
              <w:bottom w:val="single" w:sz="5" w:space="0" w:color="000000"/>
              <w:right w:val="single" w:sz="5" w:space="0" w:color="000000"/>
            </w:tcBorders>
          </w:tcPr>
          <w:p w:rsidR="001C682A" w:rsidRDefault="00B03C38">
            <w:pPr>
              <w:spacing w:line="259" w:lineRule="auto"/>
              <w:ind w:left="248" w:firstLine="0"/>
              <w:jc w:val="left"/>
            </w:pPr>
            <w:r>
              <w:rPr>
                <w:sz w:val="13"/>
              </w:rPr>
              <w:t xml:space="preserve">SWV Power Sector Reform </w:t>
            </w:r>
          </w:p>
          <w:p w:rsidR="001C682A" w:rsidRDefault="00B03C38">
            <w:pPr>
              <w:spacing w:after="0" w:line="259" w:lineRule="auto"/>
              <w:ind w:left="248" w:firstLine="0"/>
              <w:jc w:val="left"/>
            </w:pPr>
            <w:r>
              <w:rPr>
                <w:sz w:val="13"/>
              </w:rPr>
              <w:t>Programme (Transfers to NBET)</w:t>
            </w:r>
          </w:p>
        </w:tc>
        <w:tc>
          <w:tcPr>
            <w:tcW w:w="7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jc w:val="left"/>
            </w:pPr>
            <w:r>
              <w:rPr>
                <w:sz w:val="13"/>
              </w:rPr>
              <w:t xml:space="preserve">      150.40 </w:t>
            </w:r>
          </w:p>
        </w:tc>
        <w:tc>
          <w:tcPr>
            <w:tcW w:w="749"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1" w:firstLine="0"/>
            </w:pPr>
            <w:r>
              <w:rPr>
                <w:sz w:val="13"/>
              </w:rPr>
              <w:t xml:space="preserve">       110.48 </w:t>
            </w:r>
          </w:p>
        </w:tc>
        <w:tc>
          <w:tcPr>
            <w:tcW w:w="761"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pPr>
            <w:r>
              <w:rPr>
                <w:sz w:val="13"/>
              </w:rPr>
              <w:t xml:space="preserve">         39.92 </w:t>
            </w:r>
          </w:p>
        </w:tc>
        <w:tc>
          <w:tcPr>
            <w:tcW w:w="580" w:type="dxa"/>
            <w:tcBorders>
              <w:top w:val="single" w:sz="5" w:space="0" w:color="000000"/>
              <w:left w:val="single" w:sz="5" w:space="0" w:color="000000"/>
              <w:bottom w:val="single" w:sz="5" w:space="0" w:color="000000"/>
              <w:right w:val="single" w:sz="4" w:space="0" w:color="000000"/>
            </w:tcBorders>
            <w:vAlign w:val="bottom"/>
          </w:tcPr>
          <w:p w:rsidR="001C682A" w:rsidRDefault="00B03C38">
            <w:pPr>
              <w:spacing w:after="0" w:line="259" w:lineRule="auto"/>
              <w:ind w:left="0" w:right="21" w:firstLine="0"/>
              <w:jc w:val="right"/>
            </w:pPr>
            <w:r>
              <w:rPr>
                <w:sz w:val="13"/>
              </w:rPr>
              <w:t>26.5%</w:t>
            </w:r>
          </w:p>
        </w:tc>
      </w:tr>
      <w:tr w:rsidR="001C682A">
        <w:trPr>
          <w:trHeight w:val="217"/>
        </w:trPr>
        <w:tc>
          <w:tcPr>
            <w:tcW w:w="3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0" w:right="25" w:firstLine="0"/>
              <w:jc w:val="right"/>
            </w:pPr>
            <w:r>
              <w:rPr>
                <w:sz w:val="13"/>
              </w:rPr>
              <w:t>vii</w:t>
            </w:r>
          </w:p>
        </w:tc>
        <w:tc>
          <w:tcPr>
            <w:tcW w:w="2572"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104" w:firstLine="0"/>
              <w:jc w:val="center"/>
            </w:pPr>
            <w:r>
              <w:rPr>
                <w:sz w:val="13"/>
              </w:rPr>
              <w:t>Basic Health Care Fund (1% of CRF)</w:t>
            </w:r>
          </w:p>
        </w:tc>
        <w:tc>
          <w:tcPr>
            <w:tcW w:w="7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jc w:val="left"/>
            </w:pPr>
            <w:r>
              <w:rPr>
                <w:sz w:val="13"/>
              </w:rPr>
              <w:t xml:space="preserve">        51.22 </w:t>
            </w:r>
          </w:p>
        </w:tc>
        <w:tc>
          <w:tcPr>
            <w:tcW w:w="749"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1" w:firstLine="0"/>
            </w:pPr>
            <w:r>
              <w:rPr>
                <w:sz w:val="13"/>
              </w:rPr>
              <w:t xml:space="preserve">         10.00 </w:t>
            </w:r>
          </w:p>
        </w:tc>
        <w:tc>
          <w:tcPr>
            <w:tcW w:w="761"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pPr>
            <w:r>
              <w:rPr>
                <w:sz w:val="13"/>
              </w:rPr>
              <w:t xml:space="preserve">         41.22 </w:t>
            </w:r>
          </w:p>
        </w:tc>
        <w:tc>
          <w:tcPr>
            <w:tcW w:w="580" w:type="dxa"/>
            <w:tcBorders>
              <w:top w:val="single" w:sz="5" w:space="0" w:color="000000"/>
              <w:left w:val="single" w:sz="5" w:space="0" w:color="000000"/>
              <w:bottom w:val="single" w:sz="5" w:space="0" w:color="000000"/>
              <w:right w:val="single" w:sz="4" w:space="0" w:color="000000"/>
            </w:tcBorders>
          </w:tcPr>
          <w:p w:rsidR="001C682A" w:rsidRDefault="00B03C38">
            <w:pPr>
              <w:spacing w:after="0" w:line="259" w:lineRule="auto"/>
              <w:ind w:left="0" w:right="21" w:firstLine="0"/>
              <w:jc w:val="right"/>
            </w:pPr>
            <w:r>
              <w:rPr>
                <w:sz w:val="13"/>
              </w:rPr>
              <w:t>80.5%</w:t>
            </w:r>
          </w:p>
        </w:tc>
      </w:tr>
      <w:tr w:rsidR="001C682A">
        <w:trPr>
          <w:trHeight w:val="181"/>
        </w:trPr>
        <w:tc>
          <w:tcPr>
            <w:tcW w:w="3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0" w:right="25" w:firstLine="0"/>
              <w:jc w:val="right"/>
            </w:pPr>
            <w:r>
              <w:rPr>
                <w:sz w:val="13"/>
              </w:rPr>
              <w:t>viii</w:t>
            </w:r>
          </w:p>
        </w:tc>
        <w:tc>
          <w:tcPr>
            <w:tcW w:w="2572"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248" w:firstLine="0"/>
              <w:jc w:val="left"/>
            </w:pPr>
            <w:r>
              <w:rPr>
                <w:sz w:val="13"/>
              </w:rPr>
              <w:t>Payment from Special Accounts</w:t>
            </w:r>
          </w:p>
        </w:tc>
        <w:tc>
          <w:tcPr>
            <w:tcW w:w="736" w:type="dxa"/>
            <w:tcBorders>
              <w:top w:val="single" w:sz="5" w:space="0" w:color="000000"/>
              <w:left w:val="single" w:sz="5" w:space="0" w:color="000000"/>
              <w:bottom w:val="single" w:sz="5" w:space="0" w:color="000000"/>
              <w:right w:val="single" w:sz="5" w:space="0" w:color="000000"/>
            </w:tcBorders>
          </w:tcPr>
          <w:p w:rsidR="001C682A" w:rsidRDefault="001C682A">
            <w:pPr>
              <w:spacing w:after="160" w:line="259" w:lineRule="auto"/>
              <w:ind w:left="0" w:firstLine="0"/>
              <w:jc w:val="left"/>
            </w:pPr>
          </w:p>
        </w:tc>
        <w:tc>
          <w:tcPr>
            <w:tcW w:w="749"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1" w:firstLine="0"/>
            </w:pPr>
            <w:r>
              <w:rPr>
                <w:sz w:val="13"/>
              </w:rPr>
              <w:t xml:space="preserve">       524.45 </w:t>
            </w:r>
          </w:p>
        </w:tc>
        <w:tc>
          <w:tcPr>
            <w:tcW w:w="761"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43" w:firstLine="0"/>
            </w:pPr>
            <w:r>
              <w:rPr>
                <w:sz w:val="13"/>
              </w:rPr>
              <w:t xml:space="preserve">     (524.45)</w:t>
            </w:r>
          </w:p>
        </w:tc>
        <w:tc>
          <w:tcPr>
            <w:tcW w:w="580" w:type="dxa"/>
            <w:tcBorders>
              <w:top w:val="single" w:sz="5" w:space="0" w:color="000000"/>
              <w:left w:val="single" w:sz="5" w:space="0" w:color="000000"/>
              <w:bottom w:val="single" w:sz="5" w:space="0" w:color="000000"/>
              <w:right w:val="single" w:sz="4" w:space="0" w:color="000000"/>
            </w:tcBorders>
          </w:tcPr>
          <w:p w:rsidR="001C682A" w:rsidRDefault="001C682A">
            <w:pPr>
              <w:spacing w:after="160" w:line="259" w:lineRule="auto"/>
              <w:ind w:left="0" w:firstLine="0"/>
              <w:jc w:val="left"/>
            </w:pPr>
          </w:p>
        </w:tc>
      </w:tr>
      <w:tr w:rsidR="001C682A">
        <w:trPr>
          <w:trHeight w:val="181"/>
        </w:trPr>
        <w:tc>
          <w:tcPr>
            <w:tcW w:w="3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0" w:right="28" w:firstLine="0"/>
              <w:jc w:val="right"/>
            </w:pPr>
            <w:r>
              <w:rPr>
                <w:sz w:val="13"/>
              </w:rPr>
              <w:t>2</w:t>
            </w:r>
          </w:p>
        </w:tc>
        <w:tc>
          <w:tcPr>
            <w:tcW w:w="2572"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139" w:firstLine="0"/>
              <w:jc w:val="left"/>
            </w:pPr>
            <w:r>
              <w:rPr>
                <w:b/>
                <w:sz w:val="13"/>
              </w:rPr>
              <w:t>Debt Service</w:t>
            </w:r>
          </w:p>
        </w:tc>
        <w:tc>
          <w:tcPr>
            <w:tcW w:w="7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pPr>
            <w:r>
              <w:rPr>
                <w:b/>
                <w:sz w:val="13"/>
              </w:rPr>
              <w:t xml:space="preserve">   2,254.01 </w:t>
            </w:r>
          </w:p>
        </w:tc>
        <w:tc>
          <w:tcPr>
            <w:tcW w:w="749"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1" w:firstLine="0"/>
            </w:pPr>
            <w:r>
              <w:rPr>
                <w:b/>
                <w:sz w:val="13"/>
              </w:rPr>
              <w:t xml:space="preserve">    2,453.74 </w:t>
            </w:r>
          </w:p>
        </w:tc>
        <w:tc>
          <w:tcPr>
            <w:tcW w:w="761"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jc w:val="left"/>
            </w:pPr>
            <w:r>
              <w:rPr>
                <w:b/>
                <w:sz w:val="13"/>
              </w:rPr>
              <w:t xml:space="preserve">     (199.72)</w:t>
            </w:r>
          </w:p>
        </w:tc>
        <w:tc>
          <w:tcPr>
            <w:tcW w:w="580" w:type="dxa"/>
            <w:tcBorders>
              <w:top w:val="single" w:sz="5" w:space="0" w:color="000000"/>
              <w:left w:val="single" w:sz="5" w:space="0" w:color="000000"/>
              <w:bottom w:val="single" w:sz="5" w:space="0" w:color="000000"/>
              <w:right w:val="single" w:sz="4" w:space="0" w:color="000000"/>
            </w:tcBorders>
          </w:tcPr>
          <w:p w:rsidR="001C682A" w:rsidRDefault="00B03C38">
            <w:pPr>
              <w:spacing w:after="0" w:line="259" w:lineRule="auto"/>
              <w:ind w:left="0" w:right="21" w:firstLine="0"/>
              <w:jc w:val="right"/>
            </w:pPr>
            <w:r>
              <w:rPr>
                <w:b/>
                <w:sz w:val="13"/>
              </w:rPr>
              <w:t>-8.9%</w:t>
            </w:r>
          </w:p>
        </w:tc>
      </w:tr>
      <w:tr w:rsidR="001C682A">
        <w:trPr>
          <w:trHeight w:val="181"/>
        </w:trPr>
        <w:tc>
          <w:tcPr>
            <w:tcW w:w="3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0" w:right="25" w:firstLine="0"/>
              <w:jc w:val="right"/>
            </w:pPr>
            <w:proofErr w:type="spellStart"/>
            <w:r>
              <w:rPr>
                <w:sz w:val="13"/>
              </w:rPr>
              <w:t>i</w:t>
            </w:r>
            <w:proofErr w:type="spellEnd"/>
          </w:p>
        </w:tc>
        <w:tc>
          <w:tcPr>
            <w:tcW w:w="2572"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248" w:firstLine="0"/>
              <w:jc w:val="left"/>
            </w:pPr>
            <w:r>
              <w:rPr>
                <w:sz w:val="13"/>
              </w:rPr>
              <w:t>Domestic Debt</w:t>
            </w:r>
          </w:p>
        </w:tc>
        <w:tc>
          <w:tcPr>
            <w:tcW w:w="7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pPr>
            <w:r>
              <w:rPr>
                <w:sz w:val="13"/>
              </w:rPr>
              <w:t xml:space="preserve">   1,710.22 </w:t>
            </w:r>
          </w:p>
        </w:tc>
        <w:tc>
          <w:tcPr>
            <w:tcW w:w="749"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1" w:firstLine="0"/>
            </w:pPr>
            <w:r>
              <w:rPr>
                <w:sz w:val="13"/>
              </w:rPr>
              <w:t xml:space="preserve">    1,661.03 </w:t>
            </w:r>
          </w:p>
        </w:tc>
        <w:tc>
          <w:tcPr>
            <w:tcW w:w="761"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pPr>
            <w:r>
              <w:rPr>
                <w:sz w:val="13"/>
              </w:rPr>
              <w:t xml:space="preserve">         49.19 </w:t>
            </w:r>
          </w:p>
        </w:tc>
        <w:tc>
          <w:tcPr>
            <w:tcW w:w="580" w:type="dxa"/>
            <w:tcBorders>
              <w:top w:val="single" w:sz="5" w:space="0" w:color="000000"/>
              <w:left w:val="single" w:sz="5" w:space="0" w:color="000000"/>
              <w:bottom w:val="single" w:sz="5" w:space="0" w:color="000000"/>
              <w:right w:val="single" w:sz="4" w:space="0" w:color="000000"/>
            </w:tcBorders>
          </w:tcPr>
          <w:p w:rsidR="001C682A" w:rsidRDefault="00B03C38">
            <w:pPr>
              <w:spacing w:after="0" w:line="259" w:lineRule="auto"/>
              <w:ind w:left="0" w:right="21" w:firstLine="0"/>
              <w:jc w:val="right"/>
            </w:pPr>
            <w:r>
              <w:rPr>
                <w:sz w:val="13"/>
              </w:rPr>
              <w:t>2.9%</w:t>
            </w:r>
          </w:p>
        </w:tc>
      </w:tr>
      <w:tr w:rsidR="001C682A">
        <w:trPr>
          <w:trHeight w:val="181"/>
        </w:trPr>
        <w:tc>
          <w:tcPr>
            <w:tcW w:w="3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0" w:right="25" w:firstLine="0"/>
              <w:jc w:val="right"/>
            </w:pPr>
            <w:r>
              <w:rPr>
                <w:sz w:val="13"/>
              </w:rPr>
              <w:t>ii</w:t>
            </w:r>
          </w:p>
        </w:tc>
        <w:tc>
          <w:tcPr>
            <w:tcW w:w="2572"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248" w:firstLine="0"/>
              <w:jc w:val="left"/>
            </w:pPr>
            <w:r>
              <w:rPr>
                <w:sz w:val="13"/>
              </w:rPr>
              <w:t>Foreign Debt</w:t>
            </w:r>
          </w:p>
        </w:tc>
        <w:tc>
          <w:tcPr>
            <w:tcW w:w="7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jc w:val="left"/>
            </w:pPr>
            <w:r>
              <w:rPr>
                <w:sz w:val="13"/>
              </w:rPr>
              <w:t xml:space="preserve">      433.80 </w:t>
            </w:r>
          </w:p>
        </w:tc>
        <w:tc>
          <w:tcPr>
            <w:tcW w:w="749"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1" w:firstLine="0"/>
            </w:pPr>
            <w:r>
              <w:rPr>
                <w:sz w:val="13"/>
              </w:rPr>
              <w:t xml:space="preserve">       448.66 </w:t>
            </w:r>
          </w:p>
        </w:tc>
        <w:tc>
          <w:tcPr>
            <w:tcW w:w="761"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jc w:val="left"/>
            </w:pPr>
            <w:r>
              <w:rPr>
                <w:sz w:val="13"/>
              </w:rPr>
              <w:t xml:space="preserve">       (14.87)</w:t>
            </w:r>
          </w:p>
        </w:tc>
        <w:tc>
          <w:tcPr>
            <w:tcW w:w="580" w:type="dxa"/>
            <w:tcBorders>
              <w:top w:val="single" w:sz="5" w:space="0" w:color="000000"/>
              <w:left w:val="single" w:sz="5" w:space="0" w:color="000000"/>
              <w:bottom w:val="single" w:sz="5" w:space="0" w:color="000000"/>
              <w:right w:val="single" w:sz="4" w:space="0" w:color="000000"/>
            </w:tcBorders>
          </w:tcPr>
          <w:p w:rsidR="001C682A" w:rsidRDefault="00B03C38">
            <w:pPr>
              <w:spacing w:after="0" w:line="259" w:lineRule="auto"/>
              <w:ind w:left="0" w:right="21" w:firstLine="0"/>
              <w:jc w:val="right"/>
            </w:pPr>
            <w:r>
              <w:rPr>
                <w:sz w:val="13"/>
              </w:rPr>
              <w:t>-3.4%</w:t>
            </w:r>
          </w:p>
        </w:tc>
      </w:tr>
      <w:tr w:rsidR="001C682A">
        <w:trPr>
          <w:trHeight w:val="181"/>
        </w:trPr>
        <w:tc>
          <w:tcPr>
            <w:tcW w:w="3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0" w:right="25" w:firstLine="0"/>
              <w:jc w:val="right"/>
            </w:pPr>
            <w:r>
              <w:rPr>
                <w:sz w:val="13"/>
              </w:rPr>
              <w:t>iii</w:t>
            </w:r>
          </w:p>
        </w:tc>
        <w:tc>
          <w:tcPr>
            <w:tcW w:w="2572"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248" w:firstLine="0"/>
              <w:jc w:val="left"/>
            </w:pPr>
            <w:r>
              <w:rPr>
                <w:sz w:val="13"/>
              </w:rPr>
              <w:t xml:space="preserve">Sinking Fund </w:t>
            </w:r>
          </w:p>
        </w:tc>
        <w:tc>
          <w:tcPr>
            <w:tcW w:w="7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jc w:val="left"/>
            </w:pPr>
            <w:r>
              <w:rPr>
                <w:sz w:val="13"/>
              </w:rPr>
              <w:t xml:space="preserve">      110.00 </w:t>
            </w:r>
          </w:p>
        </w:tc>
        <w:tc>
          <w:tcPr>
            <w:tcW w:w="749"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1" w:firstLine="0"/>
            </w:pPr>
            <w:r>
              <w:rPr>
                <w:sz w:val="13"/>
              </w:rPr>
              <w:t xml:space="preserve">           4.59 </w:t>
            </w:r>
          </w:p>
        </w:tc>
        <w:tc>
          <w:tcPr>
            <w:tcW w:w="761"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pPr>
            <w:r>
              <w:rPr>
                <w:sz w:val="13"/>
              </w:rPr>
              <w:t xml:space="preserve">       105.41 </w:t>
            </w:r>
          </w:p>
        </w:tc>
        <w:tc>
          <w:tcPr>
            <w:tcW w:w="580" w:type="dxa"/>
            <w:tcBorders>
              <w:top w:val="single" w:sz="5" w:space="0" w:color="000000"/>
              <w:left w:val="single" w:sz="5" w:space="0" w:color="000000"/>
              <w:bottom w:val="single" w:sz="5" w:space="0" w:color="000000"/>
              <w:right w:val="single" w:sz="4" w:space="0" w:color="000000"/>
            </w:tcBorders>
          </w:tcPr>
          <w:p w:rsidR="001C682A" w:rsidRDefault="00B03C38">
            <w:pPr>
              <w:spacing w:after="0" w:line="259" w:lineRule="auto"/>
              <w:ind w:left="0" w:right="21" w:firstLine="0"/>
              <w:jc w:val="right"/>
            </w:pPr>
            <w:r>
              <w:rPr>
                <w:sz w:val="13"/>
              </w:rPr>
              <w:t>95.8%</w:t>
            </w:r>
          </w:p>
        </w:tc>
      </w:tr>
      <w:tr w:rsidR="001C682A">
        <w:trPr>
          <w:trHeight w:val="181"/>
        </w:trPr>
        <w:tc>
          <w:tcPr>
            <w:tcW w:w="336"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0" w:right="36" w:firstLine="0"/>
              <w:jc w:val="right"/>
            </w:pPr>
            <w:r>
              <w:rPr>
                <w:sz w:val="13"/>
              </w:rPr>
              <w:t>iv</w:t>
            </w:r>
          </w:p>
        </w:tc>
        <w:tc>
          <w:tcPr>
            <w:tcW w:w="2572"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248" w:firstLine="0"/>
              <w:jc w:val="left"/>
            </w:pPr>
            <w:r>
              <w:rPr>
                <w:sz w:val="13"/>
              </w:rPr>
              <w:t>Interest on Ways &amp; Means</w:t>
            </w:r>
          </w:p>
        </w:tc>
        <w:tc>
          <w:tcPr>
            <w:tcW w:w="736" w:type="dxa"/>
            <w:tcBorders>
              <w:top w:val="single" w:sz="5" w:space="0" w:color="000000"/>
              <w:left w:val="single" w:sz="5" w:space="0" w:color="000000"/>
              <w:bottom w:val="single" w:sz="5" w:space="0" w:color="000000"/>
              <w:right w:val="single" w:sz="5" w:space="0" w:color="000000"/>
            </w:tcBorders>
          </w:tcPr>
          <w:p w:rsidR="001C682A" w:rsidRDefault="001C682A">
            <w:pPr>
              <w:spacing w:after="160" w:line="259" w:lineRule="auto"/>
              <w:ind w:left="0" w:firstLine="0"/>
              <w:jc w:val="left"/>
            </w:pPr>
          </w:p>
        </w:tc>
        <w:tc>
          <w:tcPr>
            <w:tcW w:w="749"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1" w:firstLine="0"/>
            </w:pPr>
            <w:r>
              <w:rPr>
                <w:sz w:val="13"/>
              </w:rPr>
              <w:t xml:space="preserve">       339.45 </w:t>
            </w:r>
          </w:p>
        </w:tc>
        <w:tc>
          <w:tcPr>
            <w:tcW w:w="761" w:type="dxa"/>
            <w:tcBorders>
              <w:top w:val="single" w:sz="5" w:space="0" w:color="000000"/>
              <w:left w:val="single" w:sz="5" w:space="0" w:color="000000"/>
              <w:bottom w:val="single" w:sz="5" w:space="0" w:color="000000"/>
              <w:right w:val="single" w:sz="5" w:space="0" w:color="000000"/>
            </w:tcBorders>
          </w:tcPr>
          <w:p w:rsidR="001C682A" w:rsidRDefault="00B03C38">
            <w:pPr>
              <w:spacing w:after="0" w:line="259" w:lineRule="auto"/>
              <w:ind w:left="30" w:firstLine="0"/>
              <w:jc w:val="left"/>
            </w:pPr>
            <w:r>
              <w:rPr>
                <w:sz w:val="13"/>
              </w:rPr>
              <w:t xml:space="preserve">     (339.45)</w:t>
            </w:r>
          </w:p>
        </w:tc>
        <w:tc>
          <w:tcPr>
            <w:tcW w:w="580" w:type="dxa"/>
            <w:tcBorders>
              <w:top w:val="single" w:sz="5" w:space="0" w:color="000000"/>
              <w:left w:val="single" w:sz="5" w:space="0" w:color="000000"/>
              <w:bottom w:val="single" w:sz="5" w:space="0" w:color="000000"/>
              <w:right w:val="single" w:sz="4" w:space="0" w:color="000000"/>
            </w:tcBorders>
          </w:tcPr>
          <w:p w:rsidR="001C682A" w:rsidRDefault="001C682A">
            <w:pPr>
              <w:spacing w:after="160" w:line="259" w:lineRule="auto"/>
              <w:ind w:left="0" w:firstLine="0"/>
              <w:jc w:val="left"/>
            </w:pPr>
          </w:p>
        </w:tc>
      </w:tr>
      <w:tr w:rsidR="001C682A">
        <w:trPr>
          <w:trHeight w:val="183"/>
        </w:trPr>
        <w:tc>
          <w:tcPr>
            <w:tcW w:w="336" w:type="dxa"/>
            <w:tcBorders>
              <w:top w:val="single" w:sz="5" w:space="0" w:color="000000"/>
              <w:left w:val="single" w:sz="5" w:space="0" w:color="000000"/>
              <w:bottom w:val="single" w:sz="6" w:space="0" w:color="000000"/>
              <w:right w:val="single" w:sz="5" w:space="0" w:color="000000"/>
            </w:tcBorders>
          </w:tcPr>
          <w:p w:rsidR="001C682A" w:rsidRDefault="00B03C38">
            <w:pPr>
              <w:spacing w:after="0" w:line="259" w:lineRule="auto"/>
              <w:ind w:left="0" w:right="31" w:firstLine="0"/>
              <w:jc w:val="right"/>
            </w:pPr>
            <w:r>
              <w:rPr>
                <w:b/>
                <w:sz w:val="13"/>
              </w:rPr>
              <w:t>C</w:t>
            </w:r>
          </w:p>
        </w:tc>
        <w:tc>
          <w:tcPr>
            <w:tcW w:w="2572" w:type="dxa"/>
            <w:tcBorders>
              <w:top w:val="single" w:sz="5" w:space="0" w:color="000000"/>
              <w:left w:val="single" w:sz="5" w:space="0" w:color="000000"/>
              <w:bottom w:val="single" w:sz="6" w:space="0" w:color="000000"/>
              <w:right w:val="single" w:sz="5" w:space="0" w:color="000000"/>
            </w:tcBorders>
          </w:tcPr>
          <w:p w:rsidR="001C682A" w:rsidRDefault="00B03C38">
            <w:pPr>
              <w:spacing w:after="0" w:line="259" w:lineRule="auto"/>
              <w:ind w:left="30" w:firstLine="0"/>
              <w:jc w:val="left"/>
            </w:pPr>
            <w:r>
              <w:rPr>
                <w:b/>
                <w:sz w:val="13"/>
              </w:rPr>
              <w:t>Capital Expenditure</w:t>
            </w:r>
          </w:p>
        </w:tc>
        <w:tc>
          <w:tcPr>
            <w:tcW w:w="736" w:type="dxa"/>
            <w:tcBorders>
              <w:top w:val="single" w:sz="5" w:space="0" w:color="000000"/>
              <w:left w:val="single" w:sz="5" w:space="0" w:color="000000"/>
              <w:bottom w:val="single" w:sz="6" w:space="0" w:color="000000"/>
              <w:right w:val="single" w:sz="5" w:space="0" w:color="000000"/>
            </w:tcBorders>
          </w:tcPr>
          <w:p w:rsidR="001C682A" w:rsidRDefault="00B03C38">
            <w:pPr>
              <w:spacing w:after="0" w:line="259" w:lineRule="auto"/>
              <w:ind w:left="30" w:firstLine="0"/>
            </w:pPr>
            <w:r>
              <w:rPr>
                <w:b/>
                <w:sz w:val="13"/>
              </w:rPr>
              <w:t xml:space="preserve">   2,094.95 </w:t>
            </w:r>
          </w:p>
        </w:tc>
        <w:tc>
          <w:tcPr>
            <w:tcW w:w="749" w:type="dxa"/>
            <w:tcBorders>
              <w:top w:val="single" w:sz="5" w:space="0" w:color="000000"/>
              <w:left w:val="single" w:sz="5" w:space="0" w:color="000000"/>
              <w:bottom w:val="single" w:sz="6" w:space="0" w:color="000000"/>
              <w:right w:val="single" w:sz="5" w:space="0" w:color="000000"/>
            </w:tcBorders>
          </w:tcPr>
          <w:p w:rsidR="001C682A" w:rsidRDefault="00B03C38">
            <w:pPr>
              <w:spacing w:after="0" w:line="259" w:lineRule="auto"/>
              <w:ind w:left="31" w:firstLine="0"/>
            </w:pPr>
            <w:r>
              <w:rPr>
                <w:b/>
                <w:sz w:val="13"/>
              </w:rPr>
              <w:t xml:space="preserve">    1,165.51 </w:t>
            </w:r>
          </w:p>
        </w:tc>
        <w:tc>
          <w:tcPr>
            <w:tcW w:w="761" w:type="dxa"/>
            <w:tcBorders>
              <w:top w:val="single" w:sz="5" w:space="0" w:color="000000"/>
              <w:left w:val="single" w:sz="5" w:space="0" w:color="000000"/>
              <w:bottom w:val="single" w:sz="6" w:space="0" w:color="000000"/>
              <w:right w:val="single" w:sz="5" w:space="0" w:color="000000"/>
            </w:tcBorders>
          </w:tcPr>
          <w:p w:rsidR="001C682A" w:rsidRDefault="00B03C38">
            <w:pPr>
              <w:spacing w:after="0" w:line="259" w:lineRule="auto"/>
              <w:ind w:left="30" w:firstLine="0"/>
            </w:pPr>
            <w:r>
              <w:rPr>
                <w:b/>
                <w:sz w:val="13"/>
              </w:rPr>
              <w:t xml:space="preserve">       929.44 </w:t>
            </w:r>
          </w:p>
        </w:tc>
        <w:tc>
          <w:tcPr>
            <w:tcW w:w="580" w:type="dxa"/>
            <w:tcBorders>
              <w:top w:val="single" w:sz="5" w:space="0" w:color="000000"/>
              <w:left w:val="single" w:sz="5" w:space="0" w:color="000000"/>
              <w:bottom w:val="single" w:sz="6" w:space="0" w:color="000000"/>
              <w:right w:val="single" w:sz="4" w:space="0" w:color="000000"/>
            </w:tcBorders>
          </w:tcPr>
          <w:p w:rsidR="001C682A" w:rsidRDefault="00B03C38">
            <w:pPr>
              <w:spacing w:after="0" w:line="259" w:lineRule="auto"/>
              <w:ind w:left="0" w:right="21" w:firstLine="0"/>
              <w:jc w:val="right"/>
            </w:pPr>
            <w:r>
              <w:rPr>
                <w:b/>
                <w:sz w:val="13"/>
              </w:rPr>
              <w:t>44.4%</w:t>
            </w:r>
          </w:p>
        </w:tc>
      </w:tr>
    </w:tbl>
    <w:bookmarkEnd w:id="30"/>
    <w:p w:rsidR="001C682A" w:rsidRDefault="00B03C38">
      <w:pPr>
        <w:ind w:left="236" w:right="816"/>
      </w:pPr>
      <w:r>
        <w:t xml:space="preserve">Of the appropriated Budget of </w:t>
      </w:r>
    </w:p>
    <w:p w:rsidR="001C682A" w:rsidRDefault="00B03C38">
      <w:pPr>
        <w:tabs>
          <w:tab w:val="center" w:pos="512"/>
          <w:tab w:val="center" w:pos="1385"/>
          <w:tab w:val="center" w:pos="2260"/>
          <w:tab w:val="center" w:pos="3100"/>
        </w:tabs>
        <w:ind w:left="0" w:firstLine="0"/>
        <w:jc w:val="left"/>
      </w:pPr>
      <w:r>
        <w:rPr>
          <w:rFonts w:ascii="Calibri" w:eastAsia="Calibri" w:hAnsi="Calibri" w:cs="Calibri"/>
        </w:rPr>
        <w:tab/>
      </w:r>
      <w:r>
        <w:t xml:space="preserve">N8.92 </w:t>
      </w:r>
      <w:r>
        <w:tab/>
        <w:t xml:space="preserve">trillion, </w:t>
      </w:r>
      <w:r>
        <w:tab/>
        <w:t xml:space="preserve">N8.29 </w:t>
      </w:r>
      <w:r>
        <w:tab/>
        <w:t xml:space="preserve">trillion </w:t>
      </w:r>
    </w:p>
    <w:p w:rsidR="001C682A" w:rsidRDefault="00B03C38">
      <w:pPr>
        <w:spacing w:after="7" w:line="273" w:lineRule="auto"/>
        <w:ind w:left="213" w:right="1625"/>
        <w:jc w:val="left"/>
      </w:pPr>
      <w:r>
        <w:t xml:space="preserve">(representing </w:t>
      </w:r>
      <w:r>
        <w:tab/>
        <w:t xml:space="preserve">93% </w:t>
      </w:r>
      <w:r>
        <w:tab/>
        <w:t xml:space="preserve">of </w:t>
      </w:r>
      <w:r>
        <w:tab/>
        <w:t xml:space="preserve">the Budget) </w:t>
      </w:r>
      <w:r>
        <w:tab/>
        <w:t xml:space="preserve">was </w:t>
      </w:r>
      <w:r>
        <w:tab/>
        <w:t xml:space="preserve">spent. </w:t>
      </w:r>
      <w:r>
        <w:tab/>
        <w:t xml:space="preserve">The spending </w:t>
      </w:r>
      <w:r>
        <w:tab/>
        <w:t xml:space="preserve">was </w:t>
      </w:r>
      <w:r>
        <w:tab/>
        <w:t xml:space="preserve">largely </w:t>
      </w:r>
      <w:r>
        <w:tab/>
        <w:t xml:space="preserve">on recurrent expenditure, including N2.45 trillion for debt service, and N2.60 trillion for Personnel cost (including pensions). As at the end of year, N1.17 trillion (representing </w:t>
      </w:r>
      <w:r>
        <w:tab/>
        <w:t xml:space="preserve">55.6% </w:t>
      </w:r>
      <w:r>
        <w:tab/>
        <w:t xml:space="preserve">of </w:t>
      </w:r>
      <w:r>
        <w:tab/>
        <w:t xml:space="preserve">the capital budget) was spent on capital expenditure despite the fact that the Budget was only signed into law in June 2019. Implementation of the capital budget was targeted at critical priority projects.  </w:t>
      </w:r>
    </w:p>
    <w:p w:rsidR="001C682A" w:rsidRDefault="00B03C38">
      <w:pPr>
        <w:spacing w:after="19" w:line="259" w:lineRule="auto"/>
        <w:ind w:left="218" w:firstLine="0"/>
        <w:jc w:val="left"/>
      </w:pPr>
      <w:r>
        <w:t xml:space="preserve"> </w:t>
      </w:r>
    </w:p>
    <w:p w:rsidR="001C682A" w:rsidRDefault="00B03C38">
      <w:pPr>
        <w:spacing w:after="16" w:line="259" w:lineRule="auto"/>
        <w:ind w:left="218" w:firstLine="0"/>
        <w:jc w:val="left"/>
      </w:pPr>
      <w:r>
        <w:t xml:space="preserve"> </w:t>
      </w:r>
    </w:p>
    <w:p w:rsidR="001C682A" w:rsidRDefault="00B03C38">
      <w:pPr>
        <w:spacing w:after="44" w:line="259" w:lineRule="auto"/>
        <w:ind w:left="218" w:firstLine="0"/>
        <w:jc w:val="left"/>
      </w:pPr>
      <w:r>
        <w:t xml:space="preserve"> </w:t>
      </w:r>
    </w:p>
    <w:p w:rsidR="001C682A" w:rsidRDefault="00B03C38">
      <w:pPr>
        <w:spacing w:after="0" w:line="259" w:lineRule="auto"/>
        <w:ind w:left="218" w:firstLine="0"/>
        <w:jc w:val="left"/>
      </w:pPr>
      <w:r>
        <w:t xml:space="preserve"> </w:t>
      </w:r>
      <w:r>
        <w:tab/>
      </w:r>
      <w:r>
        <w:rPr>
          <w:rFonts w:ascii="Franklin Gothic Book" w:eastAsia="Franklin Gothic Book" w:hAnsi="Franklin Gothic Book" w:cs="Franklin Gothic Book"/>
          <w:sz w:val="24"/>
        </w:rPr>
        <w:t xml:space="preserve"> </w:t>
      </w:r>
    </w:p>
    <w:p w:rsidR="001C682A" w:rsidRDefault="00B03C38">
      <w:pPr>
        <w:pStyle w:val="Heading2"/>
        <w:tabs>
          <w:tab w:val="center" w:pos="418"/>
          <w:tab w:val="center" w:pos="3597"/>
        </w:tabs>
        <w:ind w:left="0" w:firstLine="0"/>
      </w:pPr>
      <w:bookmarkStart w:id="31" w:name="_Toc389386"/>
      <w:r>
        <w:rPr>
          <w:rFonts w:ascii="Calibri" w:eastAsia="Calibri" w:hAnsi="Calibri" w:cs="Calibri"/>
          <w:sz w:val="22"/>
        </w:rPr>
        <w:tab/>
      </w:r>
      <w:r>
        <w:t xml:space="preserve">4.0 </w:t>
      </w:r>
      <w:r>
        <w:tab/>
        <w:t xml:space="preserve">REVIEW OF 2020 BUDGET IMPLEMENTATION  </w:t>
      </w:r>
      <w:bookmarkEnd w:id="31"/>
    </w:p>
    <w:p w:rsidR="001C682A" w:rsidRDefault="00B03C38">
      <w:pPr>
        <w:spacing w:after="249" w:line="259" w:lineRule="auto"/>
        <w:ind w:left="190" w:firstLine="0"/>
        <w:jc w:val="left"/>
      </w:pPr>
      <w:r>
        <w:rPr>
          <w:rFonts w:ascii="Calibri" w:eastAsia="Calibri" w:hAnsi="Calibri" w:cs="Calibri"/>
          <w:noProof/>
        </w:rPr>
        <mc:AlternateContent>
          <mc:Choice Requires="wpg">
            <w:drawing>
              <wp:inline distT="0" distB="0" distL="0" distR="0">
                <wp:extent cx="5764658" cy="18593"/>
                <wp:effectExtent l="0" t="0" r="0" b="0"/>
                <wp:docPr id="326717" name="Group 326717"/>
                <wp:cNvGraphicFramePr/>
                <a:graphic xmlns:a="http://schemas.openxmlformats.org/drawingml/2006/main">
                  <a:graphicData uri="http://schemas.microsoft.com/office/word/2010/wordprocessingGroup">
                    <wpg:wgp>
                      <wpg:cNvGrpSpPr/>
                      <wpg:grpSpPr>
                        <a:xfrm>
                          <a:off x="0" y="0"/>
                          <a:ext cx="5764658" cy="18593"/>
                          <a:chOff x="0" y="0"/>
                          <a:chExt cx="5764658" cy="18593"/>
                        </a:xfrm>
                      </wpg:grpSpPr>
                      <wps:wsp>
                        <wps:cNvPr id="395743" name="Shape 395743"/>
                        <wps:cNvSpPr/>
                        <wps:spPr>
                          <a:xfrm>
                            <a:off x="0" y="0"/>
                            <a:ext cx="5764658" cy="18593"/>
                          </a:xfrm>
                          <a:custGeom>
                            <a:avLst/>
                            <a:gdLst/>
                            <a:ahLst/>
                            <a:cxnLst/>
                            <a:rect l="0" t="0" r="0" b="0"/>
                            <a:pathLst>
                              <a:path w="5764658" h="18593">
                                <a:moveTo>
                                  <a:pt x="0" y="0"/>
                                </a:moveTo>
                                <a:lnTo>
                                  <a:pt x="5764658" y="0"/>
                                </a:lnTo>
                                <a:lnTo>
                                  <a:pt x="5764658" y="18593"/>
                                </a:lnTo>
                                <a:lnTo>
                                  <a:pt x="0" y="18593"/>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26717" style="width:453.91pt;height:1.46399pt;mso-position-horizontal-relative:char;mso-position-vertical-relative:line" coordsize="57646,185">
                <v:shape id="Shape 395744" style="position:absolute;width:57646;height:185;left:0;top:0;" coordsize="5764658,18593" path="m0,0l5764658,0l5764658,18593l0,18593l0,0">
                  <v:stroke weight="0pt" endcap="flat" joinstyle="miter" miterlimit="10" on="false" color="#000000" opacity="0"/>
                  <v:fill on="true" color="#000080"/>
                </v:shape>
              </v:group>
            </w:pict>
          </mc:Fallback>
        </mc:AlternateContent>
      </w:r>
    </w:p>
    <w:p w:rsidR="001C682A" w:rsidRDefault="00B03C38">
      <w:pPr>
        <w:spacing w:after="390"/>
        <w:ind w:left="236" w:right="816"/>
      </w:pPr>
      <w:r>
        <w:t xml:space="preserve">The FY 2020 started with some subdued optimism for global growth due to downward revision of growth projections attributed mainly to “negative surprises” to economic activity in a few emerging market economies. The subdued optimism was further intensified by the </w:t>
      </w:r>
      <w:proofErr w:type="spellStart"/>
      <w:r>
        <w:t>SaudiRussian</w:t>
      </w:r>
      <w:proofErr w:type="spellEnd"/>
      <w:r>
        <w:t xml:space="preserve"> oil price war in the wake of the outbreak of the COVID-19 pandemic.</w:t>
      </w:r>
      <w:r>
        <w:rPr>
          <w:rFonts w:ascii="Century Gothic" w:eastAsia="Century Gothic" w:hAnsi="Century Gothic" w:cs="Century Gothic"/>
          <w:vertAlign w:val="subscript"/>
        </w:rPr>
        <w:t xml:space="preserve"> </w:t>
      </w:r>
    </w:p>
    <w:p w:rsidR="001C682A" w:rsidRDefault="00B03C38">
      <w:pPr>
        <w:pStyle w:val="Heading3"/>
        <w:tabs>
          <w:tab w:val="center" w:pos="414"/>
          <w:tab w:val="center" w:pos="2140"/>
        </w:tabs>
        <w:spacing w:after="0" w:line="259" w:lineRule="auto"/>
        <w:ind w:left="0" w:firstLine="0"/>
      </w:pPr>
      <w:bookmarkStart w:id="32" w:name="_Toc389387"/>
      <w:r>
        <w:rPr>
          <w:rFonts w:ascii="Calibri" w:eastAsia="Calibri" w:hAnsi="Calibri" w:cs="Calibri"/>
          <w:color w:val="000000"/>
          <w:sz w:val="22"/>
        </w:rPr>
        <w:tab/>
      </w:r>
      <w:r>
        <w:rPr>
          <w:rFonts w:ascii="Arial" w:eastAsia="Arial" w:hAnsi="Arial" w:cs="Arial"/>
          <w:b/>
        </w:rPr>
        <w:t xml:space="preserve">4.1 </w:t>
      </w:r>
      <w:r>
        <w:rPr>
          <w:rFonts w:ascii="Arial" w:eastAsia="Arial" w:hAnsi="Arial" w:cs="Arial"/>
          <w:b/>
        </w:rPr>
        <w:tab/>
        <w:t xml:space="preserve">Revenue Outturns </w:t>
      </w:r>
      <w:bookmarkEnd w:id="32"/>
    </w:p>
    <w:p w:rsidR="001C682A" w:rsidRDefault="00B03C38">
      <w:pPr>
        <w:spacing w:after="193"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26718" name="Group 326718"/>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745" name="Shape 395745"/>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26718" style="width:453.91pt;height:0.47998pt;mso-position-horizontal-relative:char;mso-position-vertical-relative:line" coordsize="57646,60">
                <v:shape id="Shape 395746"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pStyle w:val="Heading5"/>
        <w:spacing w:after="194" w:line="259" w:lineRule="auto"/>
        <w:ind w:left="213"/>
      </w:pPr>
      <w:bookmarkStart w:id="33" w:name="_Toc389388"/>
      <w:r>
        <w:rPr>
          <w:rFonts w:ascii="Arial" w:eastAsia="Arial" w:hAnsi="Arial" w:cs="Arial"/>
          <w:i/>
          <w:color w:val="2F5496"/>
          <w:sz w:val="26"/>
        </w:rPr>
        <w:t xml:space="preserve">4.1.1 Oil Revenue </w:t>
      </w:r>
      <w:bookmarkEnd w:id="33"/>
    </w:p>
    <w:p w:rsidR="001C682A" w:rsidRDefault="00B03C38">
      <w:pPr>
        <w:spacing w:after="242" w:line="249" w:lineRule="auto"/>
        <w:ind w:left="213" w:right="504"/>
        <w:jc w:val="left"/>
      </w:pPr>
      <w:r>
        <w:rPr>
          <w:rFonts w:ascii="Franklin Gothic Book" w:eastAsia="Franklin Gothic Book" w:hAnsi="Franklin Gothic Book" w:cs="Franklin Gothic Book"/>
          <w:sz w:val="24"/>
        </w:rPr>
        <w:t xml:space="preserve">Table 4.1 Revenue Performance (Jan–May) 2020  </w:t>
      </w:r>
    </w:p>
    <w:p w:rsidR="001C682A" w:rsidRDefault="00B03C38">
      <w:pPr>
        <w:ind w:left="236" w:right="816"/>
      </w:pPr>
      <w:r>
        <w:rPr>
          <w:noProof/>
        </w:rPr>
        <w:lastRenderedPageBreak/>
        <w:drawing>
          <wp:anchor distT="0" distB="0" distL="114300" distR="114300" simplePos="0" relativeHeight="251667456" behindDoc="0" locked="0" layoutInCell="1" allowOverlap="0">
            <wp:simplePos x="0" y="0"/>
            <wp:positionH relativeFrom="column">
              <wp:posOffset>138379</wp:posOffset>
            </wp:positionH>
            <wp:positionV relativeFrom="paragraph">
              <wp:posOffset>18430</wp:posOffset>
            </wp:positionV>
            <wp:extent cx="3849370" cy="2715895"/>
            <wp:effectExtent l="0" t="0" r="0" b="0"/>
            <wp:wrapSquare wrapText="bothSides"/>
            <wp:docPr id="14220" name="Picture 14220"/>
            <wp:cNvGraphicFramePr/>
            <a:graphic xmlns:a="http://schemas.openxmlformats.org/drawingml/2006/main">
              <a:graphicData uri="http://schemas.openxmlformats.org/drawingml/2006/picture">
                <pic:pic xmlns:pic="http://schemas.openxmlformats.org/drawingml/2006/picture">
                  <pic:nvPicPr>
                    <pic:cNvPr id="14220" name="Picture 14220"/>
                    <pic:cNvPicPr/>
                  </pic:nvPicPr>
                  <pic:blipFill>
                    <a:blip r:embed="rId27"/>
                    <a:stretch>
                      <a:fillRect/>
                    </a:stretch>
                  </pic:blipFill>
                  <pic:spPr>
                    <a:xfrm>
                      <a:off x="0" y="0"/>
                      <a:ext cx="3849370" cy="2715895"/>
                    </a:xfrm>
                    <a:prstGeom prst="rect">
                      <a:avLst/>
                    </a:prstGeom>
                  </pic:spPr>
                </pic:pic>
              </a:graphicData>
            </a:graphic>
          </wp:anchor>
        </w:drawing>
      </w:r>
      <w:r>
        <w:t xml:space="preserve">Following the revision of key parameters of the Budget, gross oil and gas revenue was revised downwards to N3.03 trillion from N7.67 trillion for </w:t>
      </w:r>
    </w:p>
    <w:p w:rsidR="001C682A" w:rsidRDefault="00B03C38">
      <w:pPr>
        <w:spacing w:after="7" w:line="253" w:lineRule="auto"/>
        <w:ind w:left="236" w:right="818"/>
        <w:jc w:val="right"/>
      </w:pPr>
      <w:r>
        <w:t xml:space="preserve">FY2020. As at May, N1.99 trillion was realized out of the prorated sum of N1.26 trillion. This represents 57.4% more than the </w:t>
      </w:r>
      <w:proofErr w:type="spellStart"/>
      <w:r>
        <w:t>prorata</w:t>
      </w:r>
      <w:proofErr w:type="spellEnd"/>
      <w:r>
        <w:t xml:space="preserve">. After netting out deductions (including 13% derivation), net oil and gas revenue </w:t>
      </w:r>
      <w:r>
        <w:tab/>
        <w:t xml:space="preserve">inflows </w:t>
      </w:r>
      <w:r>
        <w:tab/>
        <w:t xml:space="preserve">to </w:t>
      </w:r>
      <w:r>
        <w:tab/>
        <w:t xml:space="preserve">the Federation </w:t>
      </w:r>
      <w:r>
        <w:tab/>
        <w:t xml:space="preserve">Account amounted to N1.45 trillion – </w:t>
      </w:r>
    </w:p>
    <w:p w:rsidR="001C682A" w:rsidRDefault="00B03C38">
      <w:pPr>
        <w:spacing w:after="113"/>
        <w:ind w:left="226" w:right="816" w:firstLine="59"/>
      </w:pPr>
      <w:r>
        <w:t>N575.66 billion or 66.1% more than the projection as at May. This record performance can partly be attributed to activities in Q1, where actual crude oil price was higher than the revised budget benchmark.</w:t>
      </w:r>
      <w:r>
        <w:rPr>
          <w:sz w:val="24"/>
        </w:rPr>
        <w:t xml:space="preserve"> </w:t>
      </w:r>
    </w:p>
    <w:p w:rsidR="001C682A" w:rsidRDefault="00B03C38">
      <w:pPr>
        <w:spacing w:after="64" w:line="259" w:lineRule="auto"/>
        <w:ind w:left="218" w:firstLine="0"/>
        <w:jc w:val="left"/>
      </w:pPr>
      <w:r>
        <w:rPr>
          <w:sz w:val="24"/>
        </w:rPr>
        <w:t xml:space="preserve"> </w:t>
      </w:r>
    </w:p>
    <w:p w:rsidR="001C682A" w:rsidRDefault="00B03C38">
      <w:pPr>
        <w:pStyle w:val="Heading5"/>
        <w:spacing w:after="0" w:line="259" w:lineRule="auto"/>
        <w:ind w:left="213"/>
      </w:pPr>
      <w:bookmarkStart w:id="34" w:name="_Toc389389"/>
      <w:r>
        <w:rPr>
          <w:rFonts w:ascii="Arial" w:eastAsia="Arial" w:hAnsi="Arial" w:cs="Arial"/>
          <w:i/>
          <w:color w:val="2F5496"/>
          <w:sz w:val="26"/>
        </w:rPr>
        <w:t xml:space="preserve">4.1.2 Federation and VAT Pool Accounts Distributable </w:t>
      </w:r>
      <w:bookmarkEnd w:id="34"/>
    </w:p>
    <w:p w:rsidR="001C682A" w:rsidRDefault="00B03C38">
      <w:pPr>
        <w:spacing w:after="207" w:line="259" w:lineRule="auto"/>
        <w:ind w:right="819"/>
        <w:jc w:val="right"/>
      </w:pPr>
      <w:bookmarkStart w:id="35" w:name="_Hlk49582641"/>
      <w:r>
        <w:rPr>
          <w:rFonts w:ascii="Franklin Gothic Book" w:eastAsia="Franklin Gothic Book" w:hAnsi="Franklin Gothic Book" w:cs="Franklin Gothic Book"/>
          <w:sz w:val="20"/>
        </w:rPr>
        <w:t>Table 4.2 Federation Account Revenue and VAT Distributable, 2020 (</w:t>
      </w:r>
      <w:proofErr w:type="spellStart"/>
      <w:r>
        <w:rPr>
          <w:rFonts w:ascii="Franklin Gothic Book" w:eastAsia="Franklin Gothic Book" w:hAnsi="Franklin Gothic Book" w:cs="Franklin Gothic Book"/>
          <w:sz w:val="20"/>
        </w:rPr>
        <w:t>N’Billion</w:t>
      </w:r>
      <w:proofErr w:type="spellEnd"/>
      <w:r>
        <w:rPr>
          <w:rFonts w:ascii="Franklin Gothic Book" w:eastAsia="Franklin Gothic Book" w:hAnsi="Franklin Gothic Book" w:cs="Franklin Gothic Book"/>
          <w:sz w:val="20"/>
        </w:rPr>
        <w:t xml:space="preserve">) </w:t>
      </w:r>
    </w:p>
    <w:tbl>
      <w:tblPr>
        <w:tblStyle w:val="TableGrid"/>
        <w:tblpPr w:vertAnchor="text" w:tblpX="4294" w:tblpY="29"/>
        <w:tblOverlap w:val="never"/>
        <w:tblW w:w="4864" w:type="dxa"/>
        <w:tblInd w:w="0" w:type="dxa"/>
        <w:tblCellMar>
          <w:top w:w="14" w:type="dxa"/>
          <w:left w:w="22" w:type="dxa"/>
        </w:tblCellMar>
        <w:tblLook w:val="04A0" w:firstRow="1" w:lastRow="0" w:firstColumn="1" w:lastColumn="0" w:noHBand="0" w:noVBand="1"/>
      </w:tblPr>
      <w:tblGrid>
        <w:gridCol w:w="239"/>
        <w:gridCol w:w="1543"/>
        <w:gridCol w:w="735"/>
        <w:gridCol w:w="534"/>
        <w:gridCol w:w="622"/>
        <w:gridCol w:w="645"/>
        <w:gridCol w:w="546"/>
      </w:tblGrid>
      <w:tr w:rsidR="001C682A">
        <w:trPr>
          <w:trHeight w:val="455"/>
        </w:trPr>
        <w:tc>
          <w:tcPr>
            <w:tcW w:w="240" w:type="dxa"/>
            <w:tcBorders>
              <w:top w:val="single" w:sz="3" w:space="0" w:color="000000"/>
              <w:left w:val="single" w:sz="3" w:space="0" w:color="000000"/>
              <w:bottom w:val="single" w:sz="4" w:space="0" w:color="000000"/>
              <w:right w:val="single" w:sz="7" w:space="0" w:color="000000"/>
            </w:tcBorders>
            <w:shd w:val="clear" w:color="auto" w:fill="AEAAAA"/>
          </w:tcPr>
          <w:p w:rsidR="001C682A" w:rsidRDefault="001C682A">
            <w:pPr>
              <w:spacing w:after="160" w:line="259" w:lineRule="auto"/>
              <w:ind w:left="0" w:firstLine="0"/>
              <w:jc w:val="left"/>
            </w:pPr>
          </w:p>
        </w:tc>
        <w:tc>
          <w:tcPr>
            <w:tcW w:w="1547" w:type="dxa"/>
            <w:vMerge w:val="restart"/>
            <w:tcBorders>
              <w:top w:val="single" w:sz="3" w:space="0" w:color="000000"/>
              <w:left w:val="single" w:sz="7" w:space="0" w:color="000000"/>
              <w:bottom w:val="single" w:sz="7" w:space="0" w:color="000000"/>
              <w:right w:val="single" w:sz="4" w:space="0" w:color="000000"/>
            </w:tcBorders>
            <w:shd w:val="clear" w:color="auto" w:fill="AEAAAA"/>
            <w:vAlign w:val="center"/>
          </w:tcPr>
          <w:p w:rsidR="001C682A" w:rsidRDefault="00B03C38">
            <w:pPr>
              <w:spacing w:after="0" w:line="259" w:lineRule="auto"/>
              <w:ind w:left="0" w:right="17" w:firstLine="0"/>
              <w:jc w:val="center"/>
            </w:pPr>
            <w:r>
              <w:rPr>
                <w:b/>
                <w:sz w:val="10"/>
              </w:rPr>
              <w:t>Fiscal Items</w:t>
            </w:r>
          </w:p>
        </w:tc>
        <w:tc>
          <w:tcPr>
            <w:tcW w:w="1885" w:type="dxa"/>
            <w:gridSpan w:val="3"/>
            <w:tcBorders>
              <w:top w:val="single" w:sz="3" w:space="0" w:color="000000"/>
              <w:left w:val="single" w:sz="4" w:space="0" w:color="000000"/>
              <w:bottom w:val="single" w:sz="4" w:space="0" w:color="000000"/>
              <w:right w:val="single" w:sz="3" w:space="0" w:color="000000"/>
            </w:tcBorders>
            <w:shd w:val="clear" w:color="auto" w:fill="AEAAAA"/>
          </w:tcPr>
          <w:p w:rsidR="001C682A" w:rsidRDefault="00B03C38">
            <w:pPr>
              <w:tabs>
                <w:tab w:val="right" w:pos="1863"/>
              </w:tabs>
              <w:spacing w:after="0" w:line="259" w:lineRule="auto"/>
              <w:ind w:left="0" w:firstLine="0"/>
              <w:jc w:val="left"/>
            </w:pPr>
            <w:r>
              <w:rPr>
                <w:b/>
                <w:sz w:val="11"/>
              </w:rPr>
              <w:t xml:space="preserve">2020 Revised </w:t>
            </w:r>
            <w:r>
              <w:rPr>
                <w:b/>
                <w:sz w:val="11"/>
              </w:rPr>
              <w:tab/>
              <w:t xml:space="preserve">Actuals </w:t>
            </w:r>
          </w:p>
          <w:p w:rsidR="001C682A" w:rsidRDefault="00B03C38">
            <w:pPr>
              <w:spacing w:after="0" w:line="259" w:lineRule="auto"/>
              <w:ind w:left="90" w:firstLine="0"/>
              <w:jc w:val="center"/>
            </w:pPr>
            <w:proofErr w:type="spellStart"/>
            <w:r>
              <w:rPr>
                <w:b/>
                <w:sz w:val="11"/>
              </w:rPr>
              <w:t>Prorata</w:t>
            </w:r>
            <w:proofErr w:type="spellEnd"/>
          </w:p>
          <w:p w:rsidR="001C682A" w:rsidRDefault="00B03C38">
            <w:pPr>
              <w:tabs>
                <w:tab w:val="right" w:pos="1863"/>
              </w:tabs>
              <w:spacing w:after="0" w:line="259" w:lineRule="auto"/>
              <w:ind w:left="0" w:firstLine="0"/>
              <w:jc w:val="left"/>
            </w:pPr>
            <w:r>
              <w:rPr>
                <w:b/>
                <w:sz w:val="11"/>
              </w:rPr>
              <w:t>Budget</w:t>
            </w:r>
            <w:r>
              <w:rPr>
                <w:b/>
                <w:sz w:val="11"/>
              </w:rPr>
              <w:tab/>
              <w:t>(Jan-May)</w:t>
            </w:r>
          </w:p>
        </w:tc>
        <w:tc>
          <w:tcPr>
            <w:tcW w:w="645" w:type="dxa"/>
            <w:tcBorders>
              <w:top w:val="single" w:sz="3" w:space="0" w:color="000000"/>
              <w:left w:val="single" w:sz="3" w:space="0" w:color="000000"/>
              <w:bottom w:val="single" w:sz="4" w:space="0" w:color="000000"/>
              <w:right w:val="single" w:sz="7" w:space="0" w:color="000000"/>
            </w:tcBorders>
            <w:shd w:val="clear" w:color="auto" w:fill="AEAAAA"/>
            <w:vAlign w:val="center"/>
          </w:tcPr>
          <w:p w:rsidR="001C682A" w:rsidRDefault="00B03C38">
            <w:pPr>
              <w:spacing w:after="0" w:line="259" w:lineRule="auto"/>
              <w:ind w:left="79" w:firstLine="0"/>
              <w:jc w:val="left"/>
            </w:pPr>
            <w:r>
              <w:rPr>
                <w:b/>
                <w:sz w:val="11"/>
              </w:rPr>
              <w:t>Variance</w:t>
            </w:r>
          </w:p>
        </w:tc>
        <w:tc>
          <w:tcPr>
            <w:tcW w:w="547" w:type="dxa"/>
            <w:tcBorders>
              <w:top w:val="single" w:sz="3" w:space="0" w:color="000000"/>
              <w:left w:val="single" w:sz="7" w:space="0" w:color="000000"/>
              <w:bottom w:val="single" w:sz="4" w:space="0" w:color="000000"/>
              <w:right w:val="single" w:sz="3" w:space="0" w:color="000000"/>
            </w:tcBorders>
            <w:shd w:val="clear" w:color="auto" w:fill="AEAAAA"/>
          </w:tcPr>
          <w:p w:rsidR="001C682A" w:rsidRDefault="001C682A">
            <w:pPr>
              <w:spacing w:after="160" w:line="259" w:lineRule="auto"/>
              <w:ind w:left="0" w:firstLine="0"/>
              <w:jc w:val="left"/>
            </w:pPr>
          </w:p>
        </w:tc>
      </w:tr>
      <w:tr w:rsidR="001C682A">
        <w:trPr>
          <w:trHeight w:val="159"/>
        </w:trPr>
        <w:tc>
          <w:tcPr>
            <w:tcW w:w="240" w:type="dxa"/>
            <w:tcBorders>
              <w:top w:val="single" w:sz="4" w:space="0" w:color="000000"/>
              <w:left w:val="single" w:sz="3" w:space="0" w:color="000000"/>
              <w:bottom w:val="single" w:sz="7" w:space="0" w:color="000000"/>
              <w:right w:val="single" w:sz="7" w:space="0" w:color="000000"/>
            </w:tcBorders>
            <w:shd w:val="clear" w:color="auto" w:fill="AEAAAA"/>
          </w:tcPr>
          <w:p w:rsidR="001C682A" w:rsidRDefault="001C682A">
            <w:pPr>
              <w:spacing w:after="160" w:line="259" w:lineRule="auto"/>
              <w:ind w:left="0" w:firstLine="0"/>
              <w:jc w:val="left"/>
            </w:pPr>
          </w:p>
        </w:tc>
        <w:tc>
          <w:tcPr>
            <w:tcW w:w="0" w:type="auto"/>
            <w:vMerge/>
            <w:tcBorders>
              <w:top w:val="nil"/>
              <w:left w:val="single" w:sz="7" w:space="0" w:color="000000"/>
              <w:bottom w:val="single" w:sz="7" w:space="0" w:color="000000"/>
              <w:right w:val="single" w:sz="4" w:space="0" w:color="000000"/>
            </w:tcBorders>
          </w:tcPr>
          <w:p w:rsidR="001C682A" w:rsidRDefault="001C682A">
            <w:pPr>
              <w:spacing w:after="160" w:line="259" w:lineRule="auto"/>
              <w:ind w:left="0" w:firstLine="0"/>
              <w:jc w:val="left"/>
            </w:pPr>
          </w:p>
        </w:tc>
        <w:tc>
          <w:tcPr>
            <w:tcW w:w="1885" w:type="dxa"/>
            <w:gridSpan w:val="3"/>
            <w:tcBorders>
              <w:top w:val="single" w:sz="4" w:space="0" w:color="000000"/>
              <w:left w:val="single" w:sz="4" w:space="0" w:color="000000"/>
              <w:bottom w:val="single" w:sz="7" w:space="0" w:color="000000"/>
              <w:right w:val="single" w:sz="3" w:space="0" w:color="000000"/>
            </w:tcBorders>
            <w:shd w:val="clear" w:color="auto" w:fill="AEAAAA"/>
          </w:tcPr>
          <w:p w:rsidR="001C682A" w:rsidRDefault="00B03C38">
            <w:pPr>
              <w:spacing w:after="0" w:line="259" w:lineRule="auto"/>
              <w:ind w:left="0" w:right="25" w:firstLine="0"/>
              <w:jc w:val="center"/>
            </w:pPr>
            <w:r>
              <w:rPr>
                <w:b/>
                <w:sz w:val="11"/>
              </w:rPr>
              <w:t>Billions of Naira</w:t>
            </w:r>
          </w:p>
        </w:tc>
        <w:tc>
          <w:tcPr>
            <w:tcW w:w="645" w:type="dxa"/>
            <w:tcBorders>
              <w:top w:val="single" w:sz="4" w:space="0" w:color="000000"/>
              <w:left w:val="single" w:sz="3" w:space="0" w:color="000000"/>
              <w:bottom w:val="single" w:sz="4" w:space="0" w:color="000000"/>
              <w:right w:val="single" w:sz="7" w:space="0" w:color="000000"/>
            </w:tcBorders>
            <w:shd w:val="clear" w:color="auto" w:fill="AEAAAA"/>
          </w:tcPr>
          <w:p w:rsidR="001C682A" w:rsidRDefault="00B03C38">
            <w:pPr>
              <w:spacing w:after="0" w:line="259" w:lineRule="auto"/>
              <w:ind w:left="0" w:right="21" w:firstLine="0"/>
              <w:jc w:val="center"/>
            </w:pPr>
            <w:r>
              <w:rPr>
                <w:b/>
                <w:sz w:val="11"/>
              </w:rPr>
              <w:t>Naira</w:t>
            </w:r>
          </w:p>
        </w:tc>
        <w:tc>
          <w:tcPr>
            <w:tcW w:w="547" w:type="dxa"/>
            <w:tcBorders>
              <w:top w:val="single" w:sz="4" w:space="0" w:color="000000"/>
              <w:left w:val="single" w:sz="7" w:space="0" w:color="000000"/>
              <w:bottom w:val="single" w:sz="4" w:space="0" w:color="000000"/>
              <w:right w:val="single" w:sz="3" w:space="0" w:color="000000"/>
            </w:tcBorders>
            <w:shd w:val="clear" w:color="auto" w:fill="AEAAAA"/>
          </w:tcPr>
          <w:p w:rsidR="001C682A" w:rsidRDefault="00B03C38">
            <w:pPr>
              <w:spacing w:after="0" w:line="259" w:lineRule="auto"/>
              <w:ind w:left="0" w:right="20" w:firstLine="0"/>
              <w:jc w:val="center"/>
            </w:pPr>
            <w:r>
              <w:rPr>
                <w:b/>
                <w:sz w:val="11"/>
              </w:rPr>
              <w:t>%</w:t>
            </w:r>
          </w:p>
        </w:tc>
      </w:tr>
      <w:tr w:rsidR="001C682A">
        <w:trPr>
          <w:trHeight w:val="289"/>
        </w:trPr>
        <w:tc>
          <w:tcPr>
            <w:tcW w:w="240" w:type="dxa"/>
            <w:tcBorders>
              <w:top w:val="single" w:sz="7" w:space="0" w:color="000000"/>
              <w:left w:val="single" w:sz="3" w:space="0" w:color="000000"/>
              <w:bottom w:val="single" w:sz="4" w:space="0" w:color="000000"/>
              <w:right w:val="single" w:sz="7" w:space="0" w:color="000000"/>
            </w:tcBorders>
          </w:tcPr>
          <w:p w:rsidR="001C682A" w:rsidRDefault="00B03C38">
            <w:pPr>
              <w:spacing w:after="0" w:line="259" w:lineRule="auto"/>
              <w:ind w:left="0" w:right="15" w:firstLine="0"/>
              <w:jc w:val="right"/>
            </w:pPr>
            <w:r>
              <w:rPr>
                <w:sz w:val="10"/>
              </w:rPr>
              <w:t>A</w:t>
            </w:r>
          </w:p>
        </w:tc>
        <w:tc>
          <w:tcPr>
            <w:tcW w:w="1547" w:type="dxa"/>
            <w:tcBorders>
              <w:top w:val="single" w:sz="7" w:space="0" w:color="000000"/>
              <w:left w:val="single" w:sz="7" w:space="0" w:color="000000"/>
              <w:bottom w:val="single" w:sz="4" w:space="0" w:color="000000"/>
              <w:right w:val="single" w:sz="4" w:space="0" w:color="000000"/>
            </w:tcBorders>
          </w:tcPr>
          <w:p w:rsidR="001C682A" w:rsidRDefault="00B03C38">
            <w:pPr>
              <w:spacing w:after="8" w:line="259" w:lineRule="auto"/>
              <w:ind w:left="5" w:firstLine="0"/>
              <w:jc w:val="left"/>
            </w:pPr>
            <w:r>
              <w:rPr>
                <w:b/>
                <w:sz w:val="12"/>
              </w:rPr>
              <w:t xml:space="preserve">Net Federation Account </w:t>
            </w:r>
          </w:p>
          <w:p w:rsidR="001C682A" w:rsidRDefault="00B03C38">
            <w:pPr>
              <w:spacing w:after="0" w:line="259" w:lineRule="auto"/>
              <w:ind w:left="5" w:firstLine="0"/>
              <w:jc w:val="left"/>
            </w:pPr>
            <w:r>
              <w:rPr>
                <w:b/>
                <w:sz w:val="12"/>
              </w:rPr>
              <w:t>Distributable*</w:t>
            </w:r>
          </w:p>
        </w:tc>
        <w:tc>
          <w:tcPr>
            <w:tcW w:w="736" w:type="dxa"/>
            <w:tcBorders>
              <w:top w:val="single" w:sz="7" w:space="0" w:color="000000"/>
              <w:left w:val="single" w:sz="4" w:space="0" w:color="000000"/>
              <w:bottom w:val="single" w:sz="4" w:space="0" w:color="000000"/>
              <w:right w:val="single" w:sz="4" w:space="0" w:color="000000"/>
            </w:tcBorders>
          </w:tcPr>
          <w:p w:rsidR="001C682A" w:rsidRDefault="00B03C38">
            <w:pPr>
              <w:spacing w:after="0" w:line="259" w:lineRule="auto"/>
              <w:ind w:left="0" w:right="20" w:firstLine="0"/>
              <w:jc w:val="right"/>
            </w:pPr>
            <w:r>
              <w:rPr>
                <w:b/>
                <w:sz w:val="12"/>
              </w:rPr>
              <w:t>4,869.40</w:t>
            </w:r>
          </w:p>
        </w:tc>
        <w:tc>
          <w:tcPr>
            <w:tcW w:w="526" w:type="dxa"/>
            <w:tcBorders>
              <w:top w:val="single" w:sz="7" w:space="0" w:color="000000"/>
              <w:left w:val="single" w:sz="4" w:space="0" w:color="000000"/>
              <w:bottom w:val="single" w:sz="4" w:space="0" w:color="000000"/>
              <w:right w:val="single" w:sz="4" w:space="0" w:color="000000"/>
            </w:tcBorders>
          </w:tcPr>
          <w:p w:rsidR="001C682A" w:rsidRDefault="00B03C38">
            <w:pPr>
              <w:spacing w:after="0" w:line="259" w:lineRule="auto"/>
              <w:ind w:left="44" w:firstLine="0"/>
              <w:jc w:val="left"/>
            </w:pPr>
            <w:r>
              <w:rPr>
                <w:b/>
                <w:sz w:val="12"/>
              </w:rPr>
              <w:t>2,028.92</w:t>
            </w:r>
          </w:p>
        </w:tc>
        <w:tc>
          <w:tcPr>
            <w:tcW w:w="622" w:type="dxa"/>
            <w:tcBorders>
              <w:top w:val="single" w:sz="7" w:space="0" w:color="000000"/>
              <w:left w:val="single" w:sz="4" w:space="0" w:color="000000"/>
              <w:bottom w:val="single" w:sz="4" w:space="0" w:color="000000"/>
              <w:right w:val="single" w:sz="3" w:space="0" w:color="000000"/>
            </w:tcBorders>
          </w:tcPr>
          <w:p w:rsidR="001C682A" w:rsidRDefault="00B03C38">
            <w:pPr>
              <w:spacing w:after="0" w:line="259" w:lineRule="auto"/>
              <w:ind w:left="0" w:right="19" w:firstLine="0"/>
              <w:jc w:val="right"/>
            </w:pPr>
            <w:r>
              <w:rPr>
                <w:b/>
                <w:sz w:val="12"/>
              </w:rPr>
              <w:t>2,213.78</w:t>
            </w:r>
          </w:p>
        </w:tc>
        <w:tc>
          <w:tcPr>
            <w:tcW w:w="645" w:type="dxa"/>
            <w:tcBorders>
              <w:top w:val="single" w:sz="4" w:space="0" w:color="000000"/>
              <w:left w:val="single" w:sz="3" w:space="0" w:color="000000"/>
              <w:bottom w:val="single" w:sz="4" w:space="0" w:color="000000"/>
              <w:right w:val="single" w:sz="3" w:space="0" w:color="000000"/>
            </w:tcBorders>
          </w:tcPr>
          <w:p w:rsidR="001C682A" w:rsidRDefault="00B03C38">
            <w:pPr>
              <w:spacing w:after="0" w:line="259" w:lineRule="auto"/>
              <w:ind w:left="0" w:right="16" w:firstLine="0"/>
              <w:jc w:val="right"/>
            </w:pPr>
            <w:r>
              <w:rPr>
                <w:sz w:val="12"/>
              </w:rPr>
              <w:t xml:space="preserve">184.86 </w:t>
            </w:r>
          </w:p>
        </w:tc>
        <w:tc>
          <w:tcPr>
            <w:tcW w:w="547" w:type="dxa"/>
            <w:tcBorders>
              <w:top w:val="single" w:sz="4" w:space="0" w:color="000000"/>
              <w:left w:val="single" w:sz="3" w:space="0" w:color="000000"/>
              <w:bottom w:val="single" w:sz="4" w:space="0" w:color="000000"/>
              <w:right w:val="single" w:sz="3" w:space="0" w:color="000000"/>
            </w:tcBorders>
          </w:tcPr>
          <w:p w:rsidR="001C682A" w:rsidRDefault="00B03C38">
            <w:pPr>
              <w:spacing w:after="0" w:line="259" w:lineRule="auto"/>
              <w:ind w:left="0" w:right="16" w:firstLine="0"/>
              <w:jc w:val="right"/>
            </w:pPr>
            <w:r>
              <w:rPr>
                <w:sz w:val="12"/>
              </w:rPr>
              <w:t>9.1%</w:t>
            </w:r>
          </w:p>
        </w:tc>
      </w:tr>
      <w:tr w:rsidR="001C682A">
        <w:trPr>
          <w:trHeight w:val="161"/>
        </w:trPr>
        <w:tc>
          <w:tcPr>
            <w:tcW w:w="240" w:type="dxa"/>
            <w:tcBorders>
              <w:top w:val="single" w:sz="4" w:space="0" w:color="000000"/>
              <w:left w:val="single" w:sz="3" w:space="0" w:color="000000"/>
              <w:bottom w:val="single" w:sz="4" w:space="0" w:color="000000"/>
              <w:right w:val="single" w:sz="7" w:space="0" w:color="000000"/>
            </w:tcBorders>
          </w:tcPr>
          <w:p w:rsidR="001C682A" w:rsidRDefault="00B03C38">
            <w:pPr>
              <w:spacing w:after="0" w:line="259" w:lineRule="auto"/>
              <w:ind w:left="0" w:right="13" w:firstLine="0"/>
              <w:jc w:val="right"/>
            </w:pPr>
            <w:proofErr w:type="spellStart"/>
            <w:r>
              <w:rPr>
                <w:sz w:val="10"/>
              </w:rPr>
              <w:t>i</w:t>
            </w:r>
            <w:proofErr w:type="spellEnd"/>
          </w:p>
        </w:tc>
        <w:tc>
          <w:tcPr>
            <w:tcW w:w="1547" w:type="dxa"/>
            <w:tcBorders>
              <w:top w:val="single" w:sz="4" w:space="0" w:color="000000"/>
              <w:left w:val="single" w:sz="7" w:space="0" w:color="000000"/>
              <w:bottom w:val="single" w:sz="4" w:space="0" w:color="000000"/>
              <w:right w:val="single" w:sz="4" w:space="0" w:color="000000"/>
            </w:tcBorders>
          </w:tcPr>
          <w:p w:rsidR="001C682A" w:rsidRDefault="00B03C38">
            <w:pPr>
              <w:spacing w:after="0" w:line="259" w:lineRule="auto"/>
              <w:ind w:left="5" w:firstLine="0"/>
              <w:jc w:val="left"/>
            </w:pPr>
            <w:r>
              <w:rPr>
                <w:sz w:val="12"/>
              </w:rPr>
              <w:t>FGN's Share (52.68%)</w:t>
            </w:r>
          </w:p>
        </w:tc>
        <w:tc>
          <w:tcPr>
            <w:tcW w:w="73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9" w:firstLine="0"/>
              <w:jc w:val="right"/>
            </w:pPr>
            <w:r>
              <w:rPr>
                <w:sz w:val="12"/>
              </w:rPr>
              <w:t>2,565.20</w:t>
            </w:r>
          </w:p>
        </w:tc>
        <w:tc>
          <w:tcPr>
            <w:tcW w:w="52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44" w:firstLine="0"/>
              <w:jc w:val="left"/>
            </w:pPr>
            <w:r>
              <w:rPr>
                <w:sz w:val="12"/>
              </w:rPr>
              <w:t>1,068.83</w:t>
            </w:r>
          </w:p>
        </w:tc>
        <w:tc>
          <w:tcPr>
            <w:tcW w:w="622"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0" w:right="19" w:firstLine="0"/>
              <w:jc w:val="right"/>
            </w:pPr>
            <w:r>
              <w:rPr>
                <w:sz w:val="12"/>
              </w:rPr>
              <w:t>1,166.22</w:t>
            </w:r>
          </w:p>
        </w:tc>
        <w:tc>
          <w:tcPr>
            <w:tcW w:w="645" w:type="dxa"/>
            <w:tcBorders>
              <w:top w:val="single" w:sz="4" w:space="0" w:color="000000"/>
              <w:left w:val="single" w:sz="3" w:space="0" w:color="000000"/>
              <w:bottom w:val="single" w:sz="4" w:space="0" w:color="000000"/>
              <w:right w:val="single" w:sz="3" w:space="0" w:color="000000"/>
            </w:tcBorders>
          </w:tcPr>
          <w:p w:rsidR="001C682A" w:rsidRDefault="00B03C38">
            <w:pPr>
              <w:spacing w:after="0" w:line="259" w:lineRule="auto"/>
              <w:ind w:left="0" w:right="16" w:firstLine="0"/>
              <w:jc w:val="right"/>
            </w:pPr>
            <w:r>
              <w:rPr>
                <w:sz w:val="12"/>
              </w:rPr>
              <w:t xml:space="preserve">97.38 </w:t>
            </w:r>
          </w:p>
        </w:tc>
        <w:tc>
          <w:tcPr>
            <w:tcW w:w="547" w:type="dxa"/>
            <w:tcBorders>
              <w:top w:val="single" w:sz="4" w:space="0" w:color="000000"/>
              <w:left w:val="single" w:sz="3" w:space="0" w:color="000000"/>
              <w:bottom w:val="single" w:sz="4" w:space="0" w:color="000000"/>
              <w:right w:val="single" w:sz="3" w:space="0" w:color="000000"/>
            </w:tcBorders>
          </w:tcPr>
          <w:p w:rsidR="001C682A" w:rsidRDefault="00B03C38">
            <w:pPr>
              <w:spacing w:after="0" w:line="259" w:lineRule="auto"/>
              <w:ind w:left="0" w:right="16" w:firstLine="0"/>
              <w:jc w:val="right"/>
            </w:pPr>
            <w:r>
              <w:rPr>
                <w:sz w:val="12"/>
              </w:rPr>
              <w:t>9.1%</w:t>
            </w:r>
          </w:p>
        </w:tc>
      </w:tr>
      <w:tr w:rsidR="001C682A">
        <w:trPr>
          <w:trHeight w:val="161"/>
        </w:trPr>
        <w:tc>
          <w:tcPr>
            <w:tcW w:w="240" w:type="dxa"/>
            <w:tcBorders>
              <w:top w:val="single" w:sz="4" w:space="0" w:color="000000"/>
              <w:left w:val="single" w:sz="3" w:space="0" w:color="000000"/>
              <w:bottom w:val="single" w:sz="3" w:space="0" w:color="000000"/>
              <w:right w:val="single" w:sz="7" w:space="0" w:color="000000"/>
            </w:tcBorders>
          </w:tcPr>
          <w:p w:rsidR="001C682A" w:rsidRDefault="00B03C38">
            <w:pPr>
              <w:spacing w:after="0" w:line="259" w:lineRule="auto"/>
              <w:ind w:left="0" w:right="13" w:firstLine="0"/>
              <w:jc w:val="right"/>
            </w:pPr>
            <w:r>
              <w:rPr>
                <w:sz w:val="10"/>
              </w:rPr>
              <w:t>ii</w:t>
            </w:r>
          </w:p>
        </w:tc>
        <w:tc>
          <w:tcPr>
            <w:tcW w:w="1547" w:type="dxa"/>
            <w:tcBorders>
              <w:top w:val="single" w:sz="4" w:space="0" w:color="000000"/>
              <w:left w:val="single" w:sz="7" w:space="0" w:color="000000"/>
              <w:bottom w:val="single" w:sz="3" w:space="0" w:color="000000"/>
              <w:right w:val="single" w:sz="4" w:space="0" w:color="000000"/>
            </w:tcBorders>
          </w:tcPr>
          <w:p w:rsidR="001C682A" w:rsidRDefault="00B03C38">
            <w:pPr>
              <w:spacing w:after="0" w:line="259" w:lineRule="auto"/>
              <w:ind w:left="5" w:firstLine="0"/>
              <w:jc w:val="left"/>
            </w:pPr>
            <w:r>
              <w:rPr>
                <w:sz w:val="12"/>
              </w:rPr>
              <w:t>States' Share (26.72%)</w:t>
            </w:r>
          </w:p>
        </w:tc>
        <w:tc>
          <w:tcPr>
            <w:tcW w:w="736" w:type="dxa"/>
            <w:tcBorders>
              <w:top w:val="single" w:sz="4" w:space="0" w:color="000000"/>
              <w:left w:val="single" w:sz="4" w:space="0" w:color="000000"/>
              <w:bottom w:val="single" w:sz="3" w:space="0" w:color="000000"/>
              <w:right w:val="single" w:sz="4" w:space="0" w:color="000000"/>
            </w:tcBorders>
          </w:tcPr>
          <w:p w:rsidR="001C682A" w:rsidRDefault="00B03C38">
            <w:pPr>
              <w:spacing w:after="0" w:line="259" w:lineRule="auto"/>
              <w:ind w:left="0" w:right="19" w:firstLine="0"/>
              <w:jc w:val="right"/>
            </w:pPr>
            <w:r>
              <w:rPr>
                <w:sz w:val="12"/>
              </w:rPr>
              <w:t>1,301.10</w:t>
            </w:r>
          </w:p>
        </w:tc>
        <w:tc>
          <w:tcPr>
            <w:tcW w:w="526" w:type="dxa"/>
            <w:tcBorders>
              <w:top w:val="single" w:sz="4" w:space="0" w:color="000000"/>
              <w:left w:val="single" w:sz="4" w:space="0" w:color="000000"/>
              <w:bottom w:val="single" w:sz="3" w:space="0" w:color="000000"/>
              <w:right w:val="single" w:sz="4" w:space="0" w:color="000000"/>
            </w:tcBorders>
          </w:tcPr>
          <w:p w:rsidR="001C682A" w:rsidRDefault="00B03C38">
            <w:pPr>
              <w:spacing w:after="0" w:line="259" w:lineRule="auto"/>
              <w:ind w:left="0" w:right="20" w:firstLine="0"/>
              <w:jc w:val="right"/>
            </w:pPr>
            <w:r>
              <w:rPr>
                <w:sz w:val="12"/>
              </w:rPr>
              <w:t>542.13</w:t>
            </w:r>
          </w:p>
        </w:tc>
        <w:tc>
          <w:tcPr>
            <w:tcW w:w="622" w:type="dxa"/>
            <w:tcBorders>
              <w:top w:val="single" w:sz="4" w:space="0" w:color="000000"/>
              <w:left w:val="single" w:sz="4" w:space="0" w:color="000000"/>
              <w:bottom w:val="single" w:sz="3" w:space="0" w:color="000000"/>
              <w:right w:val="single" w:sz="3" w:space="0" w:color="000000"/>
            </w:tcBorders>
          </w:tcPr>
          <w:p w:rsidR="001C682A" w:rsidRDefault="00B03C38">
            <w:pPr>
              <w:spacing w:after="0" w:line="259" w:lineRule="auto"/>
              <w:ind w:left="0" w:right="19" w:firstLine="0"/>
              <w:jc w:val="right"/>
            </w:pPr>
            <w:r>
              <w:rPr>
                <w:sz w:val="12"/>
              </w:rPr>
              <w:t>591.52</w:t>
            </w:r>
          </w:p>
        </w:tc>
        <w:tc>
          <w:tcPr>
            <w:tcW w:w="645" w:type="dxa"/>
            <w:tcBorders>
              <w:top w:val="single" w:sz="4" w:space="0" w:color="000000"/>
              <w:left w:val="single" w:sz="3" w:space="0" w:color="000000"/>
              <w:bottom w:val="single" w:sz="3" w:space="0" w:color="000000"/>
              <w:right w:val="single" w:sz="3" w:space="0" w:color="000000"/>
            </w:tcBorders>
          </w:tcPr>
          <w:p w:rsidR="001C682A" w:rsidRDefault="00B03C38">
            <w:pPr>
              <w:spacing w:after="0" w:line="259" w:lineRule="auto"/>
              <w:ind w:left="0" w:right="16" w:firstLine="0"/>
              <w:jc w:val="right"/>
            </w:pPr>
            <w:r>
              <w:rPr>
                <w:sz w:val="12"/>
              </w:rPr>
              <w:t xml:space="preserve">49.39 </w:t>
            </w:r>
          </w:p>
        </w:tc>
        <w:tc>
          <w:tcPr>
            <w:tcW w:w="547" w:type="dxa"/>
            <w:tcBorders>
              <w:top w:val="single" w:sz="4" w:space="0" w:color="000000"/>
              <w:left w:val="single" w:sz="3" w:space="0" w:color="000000"/>
              <w:bottom w:val="single" w:sz="3" w:space="0" w:color="000000"/>
              <w:right w:val="single" w:sz="3" w:space="0" w:color="000000"/>
            </w:tcBorders>
          </w:tcPr>
          <w:p w:rsidR="001C682A" w:rsidRDefault="00B03C38">
            <w:pPr>
              <w:spacing w:after="0" w:line="259" w:lineRule="auto"/>
              <w:ind w:left="0" w:right="16" w:firstLine="0"/>
              <w:jc w:val="right"/>
            </w:pPr>
            <w:r>
              <w:rPr>
                <w:sz w:val="12"/>
              </w:rPr>
              <w:t>9.1%</w:t>
            </w:r>
          </w:p>
        </w:tc>
      </w:tr>
      <w:tr w:rsidR="001C682A">
        <w:trPr>
          <w:trHeight w:val="170"/>
        </w:trPr>
        <w:tc>
          <w:tcPr>
            <w:tcW w:w="240" w:type="dxa"/>
            <w:tcBorders>
              <w:top w:val="single" w:sz="3" w:space="0" w:color="000000"/>
              <w:left w:val="single" w:sz="3" w:space="0" w:color="000000"/>
              <w:bottom w:val="single" w:sz="4" w:space="0" w:color="000000"/>
              <w:right w:val="single" w:sz="7" w:space="0" w:color="000000"/>
            </w:tcBorders>
          </w:tcPr>
          <w:p w:rsidR="001C682A" w:rsidRDefault="00B03C38">
            <w:pPr>
              <w:spacing w:after="0" w:line="259" w:lineRule="auto"/>
              <w:ind w:left="0" w:right="13" w:firstLine="0"/>
              <w:jc w:val="right"/>
            </w:pPr>
            <w:r>
              <w:rPr>
                <w:sz w:val="10"/>
              </w:rPr>
              <w:t>iii</w:t>
            </w:r>
          </w:p>
        </w:tc>
        <w:tc>
          <w:tcPr>
            <w:tcW w:w="1547" w:type="dxa"/>
            <w:tcBorders>
              <w:top w:val="single" w:sz="3" w:space="0" w:color="000000"/>
              <w:left w:val="single" w:sz="7" w:space="0" w:color="000000"/>
              <w:bottom w:val="single" w:sz="4" w:space="0" w:color="000000"/>
              <w:right w:val="single" w:sz="4" w:space="0" w:color="000000"/>
            </w:tcBorders>
          </w:tcPr>
          <w:p w:rsidR="001C682A" w:rsidRDefault="00B03C38">
            <w:pPr>
              <w:spacing w:after="0" w:line="259" w:lineRule="auto"/>
              <w:ind w:left="5" w:firstLine="0"/>
            </w:pPr>
            <w:r>
              <w:rPr>
                <w:sz w:val="12"/>
              </w:rPr>
              <w:t>Local Govt.'s Share (20.60%)</w:t>
            </w:r>
          </w:p>
        </w:tc>
        <w:tc>
          <w:tcPr>
            <w:tcW w:w="736" w:type="dxa"/>
            <w:tcBorders>
              <w:top w:val="single" w:sz="3" w:space="0" w:color="000000"/>
              <w:left w:val="single" w:sz="4" w:space="0" w:color="000000"/>
              <w:bottom w:val="single" w:sz="4" w:space="0" w:color="000000"/>
              <w:right w:val="single" w:sz="4" w:space="0" w:color="000000"/>
            </w:tcBorders>
          </w:tcPr>
          <w:p w:rsidR="001C682A" w:rsidRDefault="00B03C38">
            <w:pPr>
              <w:spacing w:after="0" w:line="259" w:lineRule="auto"/>
              <w:ind w:left="0" w:right="19" w:firstLine="0"/>
              <w:jc w:val="right"/>
            </w:pPr>
            <w:r>
              <w:rPr>
                <w:sz w:val="12"/>
              </w:rPr>
              <w:t>1,003.10</w:t>
            </w:r>
          </w:p>
        </w:tc>
        <w:tc>
          <w:tcPr>
            <w:tcW w:w="526" w:type="dxa"/>
            <w:tcBorders>
              <w:top w:val="single" w:sz="3" w:space="0" w:color="000000"/>
              <w:left w:val="single" w:sz="4" w:space="0" w:color="000000"/>
              <w:bottom w:val="single" w:sz="4" w:space="0" w:color="000000"/>
              <w:right w:val="single" w:sz="4" w:space="0" w:color="000000"/>
            </w:tcBorders>
          </w:tcPr>
          <w:p w:rsidR="001C682A" w:rsidRDefault="00B03C38">
            <w:pPr>
              <w:spacing w:after="0" w:line="259" w:lineRule="auto"/>
              <w:ind w:left="0" w:right="20" w:firstLine="0"/>
              <w:jc w:val="right"/>
            </w:pPr>
            <w:r>
              <w:rPr>
                <w:sz w:val="12"/>
              </w:rPr>
              <w:t>417.96</w:t>
            </w:r>
          </w:p>
        </w:tc>
        <w:tc>
          <w:tcPr>
            <w:tcW w:w="622" w:type="dxa"/>
            <w:tcBorders>
              <w:top w:val="single" w:sz="3" w:space="0" w:color="000000"/>
              <w:left w:val="single" w:sz="4" w:space="0" w:color="000000"/>
              <w:bottom w:val="single" w:sz="4" w:space="0" w:color="000000"/>
              <w:right w:val="single" w:sz="3" w:space="0" w:color="000000"/>
            </w:tcBorders>
          </w:tcPr>
          <w:p w:rsidR="001C682A" w:rsidRDefault="00B03C38">
            <w:pPr>
              <w:spacing w:after="0" w:line="259" w:lineRule="auto"/>
              <w:ind w:left="0" w:right="19" w:firstLine="0"/>
              <w:jc w:val="right"/>
            </w:pPr>
            <w:r>
              <w:rPr>
                <w:sz w:val="12"/>
              </w:rPr>
              <w:t>456.04</w:t>
            </w:r>
          </w:p>
        </w:tc>
        <w:tc>
          <w:tcPr>
            <w:tcW w:w="645" w:type="dxa"/>
            <w:tcBorders>
              <w:top w:val="single" w:sz="3" w:space="0" w:color="000000"/>
              <w:left w:val="single" w:sz="3" w:space="0" w:color="000000"/>
              <w:bottom w:val="single" w:sz="4" w:space="0" w:color="000000"/>
              <w:right w:val="single" w:sz="3" w:space="0" w:color="000000"/>
            </w:tcBorders>
          </w:tcPr>
          <w:p w:rsidR="001C682A" w:rsidRDefault="00B03C38">
            <w:pPr>
              <w:spacing w:after="0" w:line="259" w:lineRule="auto"/>
              <w:ind w:left="0" w:right="16" w:firstLine="0"/>
              <w:jc w:val="right"/>
            </w:pPr>
            <w:r>
              <w:rPr>
                <w:sz w:val="12"/>
              </w:rPr>
              <w:t xml:space="preserve">38.08 </w:t>
            </w:r>
          </w:p>
        </w:tc>
        <w:tc>
          <w:tcPr>
            <w:tcW w:w="547" w:type="dxa"/>
            <w:tcBorders>
              <w:top w:val="single" w:sz="3" w:space="0" w:color="000000"/>
              <w:left w:val="single" w:sz="3" w:space="0" w:color="000000"/>
              <w:bottom w:val="single" w:sz="4" w:space="0" w:color="000000"/>
              <w:right w:val="single" w:sz="3" w:space="0" w:color="000000"/>
            </w:tcBorders>
          </w:tcPr>
          <w:p w:rsidR="001C682A" w:rsidRDefault="00B03C38">
            <w:pPr>
              <w:spacing w:after="0" w:line="259" w:lineRule="auto"/>
              <w:ind w:left="0" w:right="16" w:firstLine="0"/>
              <w:jc w:val="right"/>
            </w:pPr>
            <w:r>
              <w:rPr>
                <w:sz w:val="12"/>
              </w:rPr>
              <w:t>9.1%</w:t>
            </w:r>
          </w:p>
        </w:tc>
      </w:tr>
      <w:tr w:rsidR="001C682A">
        <w:trPr>
          <w:trHeight w:val="152"/>
        </w:trPr>
        <w:tc>
          <w:tcPr>
            <w:tcW w:w="240" w:type="dxa"/>
            <w:tcBorders>
              <w:top w:val="single" w:sz="4" w:space="0" w:color="000000"/>
              <w:left w:val="single" w:sz="3" w:space="0" w:color="000000"/>
              <w:bottom w:val="single" w:sz="3" w:space="0" w:color="000000"/>
              <w:right w:val="single" w:sz="7" w:space="0" w:color="000000"/>
            </w:tcBorders>
          </w:tcPr>
          <w:p w:rsidR="001C682A" w:rsidRDefault="001C682A">
            <w:pPr>
              <w:spacing w:after="160" w:line="259" w:lineRule="auto"/>
              <w:ind w:left="0" w:firstLine="0"/>
              <w:jc w:val="left"/>
            </w:pPr>
          </w:p>
        </w:tc>
        <w:tc>
          <w:tcPr>
            <w:tcW w:w="1547" w:type="dxa"/>
            <w:tcBorders>
              <w:top w:val="single" w:sz="4" w:space="0" w:color="000000"/>
              <w:left w:val="single" w:sz="7" w:space="0" w:color="000000"/>
              <w:bottom w:val="single" w:sz="3" w:space="0" w:color="000000"/>
              <w:right w:val="single" w:sz="4" w:space="0" w:color="000000"/>
            </w:tcBorders>
          </w:tcPr>
          <w:p w:rsidR="001C682A" w:rsidRDefault="001C682A">
            <w:pPr>
              <w:spacing w:after="160" w:line="259" w:lineRule="auto"/>
              <w:ind w:left="0" w:firstLine="0"/>
              <w:jc w:val="left"/>
            </w:pPr>
          </w:p>
        </w:tc>
        <w:tc>
          <w:tcPr>
            <w:tcW w:w="736" w:type="dxa"/>
            <w:tcBorders>
              <w:top w:val="single" w:sz="4" w:space="0" w:color="000000"/>
              <w:left w:val="single" w:sz="4" w:space="0" w:color="000000"/>
              <w:bottom w:val="single" w:sz="3" w:space="0" w:color="000000"/>
              <w:right w:val="single" w:sz="4" w:space="0" w:color="000000"/>
            </w:tcBorders>
          </w:tcPr>
          <w:p w:rsidR="001C682A" w:rsidRDefault="001C682A">
            <w:pPr>
              <w:spacing w:after="160" w:line="259" w:lineRule="auto"/>
              <w:ind w:left="0" w:firstLine="0"/>
              <w:jc w:val="left"/>
            </w:pPr>
          </w:p>
        </w:tc>
        <w:tc>
          <w:tcPr>
            <w:tcW w:w="526" w:type="dxa"/>
            <w:tcBorders>
              <w:top w:val="single" w:sz="4" w:space="0" w:color="000000"/>
              <w:left w:val="single" w:sz="4" w:space="0" w:color="000000"/>
              <w:bottom w:val="single" w:sz="3" w:space="0" w:color="000000"/>
              <w:right w:val="single" w:sz="4" w:space="0" w:color="000000"/>
            </w:tcBorders>
          </w:tcPr>
          <w:p w:rsidR="001C682A" w:rsidRDefault="001C682A">
            <w:pPr>
              <w:spacing w:after="160" w:line="259" w:lineRule="auto"/>
              <w:ind w:left="0" w:firstLine="0"/>
              <w:jc w:val="left"/>
            </w:pPr>
          </w:p>
        </w:tc>
        <w:tc>
          <w:tcPr>
            <w:tcW w:w="622" w:type="dxa"/>
            <w:tcBorders>
              <w:top w:val="single" w:sz="4" w:space="0" w:color="000000"/>
              <w:left w:val="single" w:sz="4" w:space="0" w:color="000000"/>
              <w:bottom w:val="single" w:sz="3" w:space="0" w:color="000000"/>
              <w:right w:val="single" w:sz="3" w:space="0" w:color="000000"/>
            </w:tcBorders>
          </w:tcPr>
          <w:p w:rsidR="001C682A" w:rsidRDefault="001C682A">
            <w:pPr>
              <w:spacing w:after="160" w:line="259" w:lineRule="auto"/>
              <w:ind w:left="0" w:firstLine="0"/>
              <w:jc w:val="left"/>
            </w:pPr>
          </w:p>
        </w:tc>
        <w:tc>
          <w:tcPr>
            <w:tcW w:w="645" w:type="dxa"/>
            <w:tcBorders>
              <w:top w:val="single" w:sz="4" w:space="0" w:color="000000"/>
              <w:left w:val="single" w:sz="3" w:space="0" w:color="000000"/>
              <w:bottom w:val="single" w:sz="3" w:space="0" w:color="000000"/>
              <w:right w:val="single" w:sz="3" w:space="0" w:color="000000"/>
            </w:tcBorders>
          </w:tcPr>
          <w:p w:rsidR="001C682A" w:rsidRDefault="001C682A">
            <w:pPr>
              <w:spacing w:after="160" w:line="259" w:lineRule="auto"/>
              <w:ind w:left="0" w:firstLine="0"/>
              <w:jc w:val="left"/>
            </w:pPr>
          </w:p>
        </w:tc>
        <w:tc>
          <w:tcPr>
            <w:tcW w:w="547" w:type="dxa"/>
            <w:tcBorders>
              <w:top w:val="single" w:sz="4" w:space="0" w:color="000000"/>
              <w:left w:val="single" w:sz="3" w:space="0" w:color="000000"/>
              <w:bottom w:val="single" w:sz="3" w:space="0" w:color="000000"/>
              <w:right w:val="single" w:sz="3" w:space="0" w:color="000000"/>
            </w:tcBorders>
          </w:tcPr>
          <w:p w:rsidR="001C682A" w:rsidRDefault="001C682A">
            <w:pPr>
              <w:spacing w:after="160" w:line="259" w:lineRule="auto"/>
              <w:ind w:left="0" w:firstLine="0"/>
              <w:jc w:val="left"/>
            </w:pPr>
          </w:p>
        </w:tc>
      </w:tr>
      <w:tr w:rsidR="001C682A">
        <w:trPr>
          <w:trHeight w:val="323"/>
        </w:trPr>
        <w:tc>
          <w:tcPr>
            <w:tcW w:w="240" w:type="dxa"/>
            <w:tcBorders>
              <w:top w:val="single" w:sz="3" w:space="0" w:color="000000"/>
              <w:left w:val="single" w:sz="3" w:space="0" w:color="000000"/>
              <w:bottom w:val="single" w:sz="4" w:space="0" w:color="000000"/>
              <w:right w:val="single" w:sz="7" w:space="0" w:color="000000"/>
            </w:tcBorders>
          </w:tcPr>
          <w:p w:rsidR="001C682A" w:rsidRDefault="00B03C38">
            <w:pPr>
              <w:spacing w:after="0" w:line="259" w:lineRule="auto"/>
              <w:ind w:left="0" w:right="15" w:firstLine="0"/>
              <w:jc w:val="right"/>
            </w:pPr>
            <w:r>
              <w:rPr>
                <w:sz w:val="10"/>
              </w:rPr>
              <w:t>B</w:t>
            </w:r>
          </w:p>
        </w:tc>
        <w:tc>
          <w:tcPr>
            <w:tcW w:w="1547" w:type="dxa"/>
            <w:tcBorders>
              <w:top w:val="single" w:sz="3" w:space="0" w:color="000000"/>
              <w:left w:val="single" w:sz="7" w:space="0" w:color="000000"/>
              <w:bottom w:val="single" w:sz="4" w:space="0" w:color="000000"/>
              <w:right w:val="single" w:sz="4" w:space="0" w:color="000000"/>
            </w:tcBorders>
          </w:tcPr>
          <w:p w:rsidR="001C682A" w:rsidRDefault="00B03C38">
            <w:pPr>
              <w:spacing w:after="8" w:line="259" w:lineRule="auto"/>
              <w:ind w:left="5" w:firstLine="0"/>
              <w:jc w:val="left"/>
            </w:pPr>
            <w:r>
              <w:rPr>
                <w:b/>
                <w:sz w:val="12"/>
              </w:rPr>
              <w:t xml:space="preserve">Net VAT Pool Account </w:t>
            </w:r>
          </w:p>
          <w:p w:rsidR="001C682A" w:rsidRDefault="00B03C38">
            <w:pPr>
              <w:spacing w:after="0" w:line="259" w:lineRule="auto"/>
              <w:ind w:left="5" w:firstLine="0"/>
              <w:jc w:val="left"/>
            </w:pPr>
            <w:r>
              <w:rPr>
                <w:b/>
                <w:sz w:val="12"/>
              </w:rPr>
              <w:t>Distributable</w:t>
            </w:r>
          </w:p>
        </w:tc>
        <w:tc>
          <w:tcPr>
            <w:tcW w:w="736" w:type="dxa"/>
            <w:tcBorders>
              <w:top w:val="single" w:sz="3" w:space="0" w:color="000000"/>
              <w:left w:val="single" w:sz="4" w:space="0" w:color="000000"/>
              <w:bottom w:val="single" w:sz="4" w:space="0" w:color="000000"/>
              <w:right w:val="single" w:sz="4" w:space="0" w:color="000000"/>
            </w:tcBorders>
          </w:tcPr>
          <w:p w:rsidR="001C682A" w:rsidRDefault="00B03C38">
            <w:pPr>
              <w:spacing w:after="0" w:line="259" w:lineRule="auto"/>
              <w:ind w:left="0" w:right="20" w:firstLine="0"/>
              <w:jc w:val="right"/>
            </w:pPr>
            <w:r>
              <w:rPr>
                <w:b/>
                <w:sz w:val="12"/>
              </w:rPr>
              <w:t>2,029.39</w:t>
            </w:r>
          </w:p>
        </w:tc>
        <w:tc>
          <w:tcPr>
            <w:tcW w:w="526" w:type="dxa"/>
            <w:tcBorders>
              <w:top w:val="single" w:sz="3" w:space="0" w:color="000000"/>
              <w:left w:val="single" w:sz="4" w:space="0" w:color="000000"/>
              <w:bottom w:val="single" w:sz="4" w:space="0" w:color="000000"/>
              <w:right w:val="single" w:sz="4" w:space="0" w:color="000000"/>
            </w:tcBorders>
          </w:tcPr>
          <w:p w:rsidR="001C682A" w:rsidRDefault="00B03C38">
            <w:pPr>
              <w:spacing w:after="0" w:line="259" w:lineRule="auto"/>
              <w:ind w:left="0" w:right="20" w:firstLine="0"/>
              <w:jc w:val="right"/>
            </w:pPr>
            <w:r>
              <w:rPr>
                <w:b/>
                <w:sz w:val="12"/>
              </w:rPr>
              <w:t>845.58</w:t>
            </w:r>
          </w:p>
        </w:tc>
        <w:tc>
          <w:tcPr>
            <w:tcW w:w="622" w:type="dxa"/>
            <w:tcBorders>
              <w:top w:val="single" w:sz="3" w:space="0" w:color="000000"/>
              <w:left w:val="single" w:sz="4" w:space="0" w:color="000000"/>
              <w:bottom w:val="single" w:sz="4" w:space="0" w:color="000000"/>
              <w:right w:val="single" w:sz="3" w:space="0" w:color="000000"/>
            </w:tcBorders>
          </w:tcPr>
          <w:p w:rsidR="001C682A" w:rsidRDefault="00B03C38">
            <w:pPr>
              <w:spacing w:after="0" w:line="259" w:lineRule="auto"/>
              <w:ind w:left="0" w:right="19" w:firstLine="0"/>
              <w:jc w:val="right"/>
            </w:pPr>
            <w:r>
              <w:rPr>
                <w:b/>
                <w:sz w:val="12"/>
              </w:rPr>
              <w:t>486.34</w:t>
            </w:r>
          </w:p>
        </w:tc>
        <w:tc>
          <w:tcPr>
            <w:tcW w:w="645" w:type="dxa"/>
            <w:tcBorders>
              <w:top w:val="single" w:sz="3" w:space="0" w:color="000000"/>
              <w:left w:val="single" w:sz="3" w:space="0" w:color="000000"/>
              <w:bottom w:val="single" w:sz="4" w:space="0" w:color="000000"/>
              <w:right w:val="single" w:sz="3" w:space="0" w:color="000000"/>
            </w:tcBorders>
          </w:tcPr>
          <w:p w:rsidR="001C682A" w:rsidRDefault="00B03C38">
            <w:pPr>
              <w:spacing w:after="0" w:line="259" w:lineRule="auto"/>
              <w:ind w:left="0" w:right="15" w:firstLine="0"/>
              <w:jc w:val="right"/>
            </w:pPr>
            <w:r>
              <w:rPr>
                <w:sz w:val="12"/>
              </w:rPr>
              <w:t>(359.24)</w:t>
            </w:r>
          </w:p>
        </w:tc>
        <w:tc>
          <w:tcPr>
            <w:tcW w:w="547" w:type="dxa"/>
            <w:tcBorders>
              <w:top w:val="single" w:sz="3" w:space="0" w:color="000000"/>
              <w:left w:val="single" w:sz="3" w:space="0" w:color="000000"/>
              <w:bottom w:val="single" w:sz="4" w:space="0" w:color="000000"/>
              <w:right w:val="single" w:sz="3" w:space="0" w:color="000000"/>
            </w:tcBorders>
          </w:tcPr>
          <w:p w:rsidR="001C682A" w:rsidRDefault="00B03C38">
            <w:pPr>
              <w:spacing w:after="0" w:line="259" w:lineRule="auto"/>
              <w:ind w:left="0" w:right="16" w:firstLine="0"/>
              <w:jc w:val="right"/>
            </w:pPr>
            <w:r>
              <w:rPr>
                <w:sz w:val="12"/>
              </w:rPr>
              <w:t>-42.5%</w:t>
            </w:r>
          </w:p>
        </w:tc>
      </w:tr>
      <w:tr w:rsidR="001C682A">
        <w:trPr>
          <w:trHeight w:val="161"/>
        </w:trPr>
        <w:tc>
          <w:tcPr>
            <w:tcW w:w="240" w:type="dxa"/>
            <w:tcBorders>
              <w:top w:val="single" w:sz="4" w:space="0" w:color="000000"/>
              <w:left w:val="single" w:sz="3" w:space="0" w:color="000000"/>
              <w:bottom w:val="single" w:sz="3" w:space="0" w:color="000000"/>
              <w:right w:val="single" w:sz="7" w:space="0" w:color="000000"/>
            </w:tcBorders>
          </w:tcPr>
          <w:p w:rsidR="001C682A" w:rsidRDefault="00B03C38">
            <w:pPr>
              <w:spacing w:after="0" w:line="259" w:lineRule="auto"/>
              <w:ind w:left="0" w:right="21" w:firstLine="0"/>
              <w:jc w:val="right"/>
            </w:pPr>
            <w:r>
              <w:rPr>
                <w:sz w:val="10"/>
              </w:rPr>
              <w:t>iv</w:t>
            </w:r>
          </w:p>
        </w:tc>
        <w:tc>
          <w:tcPr>
            <w:tcW w:w="1547" w:type="dxa"/>
            <w:tcBorders>
              <w:top w:val="single" w:sz="4" w:space="0" w:color="000000"/>
              <w:left w:val="single" w:sz="7" w:space="0" w:color="000000"/>
              <w:bottom w:val="single" w:sz="3" w:space="0" w:color="000000"/>
              <w:right w:val="single" w:sz="4" w:space="0" w:color="000000"/>
            </w:tcBorders>
          </w:tcPr>
          <w:p w:rsidR="001C682A" w:rsidRDefault="00B03C38">
            <w:pPr>
              <w:spacing w:after="0" w:line="259" w:lineRule="auto"/>
              <w:ind w:left="5" w:firstLine="0"/>
              <w:jc w:val="left"/>
            </w:pPr>
            <w:r>
              <w:rPr>
                <w:sz w:val="12"/>
              </w:rPr>
              <w:t>FGN's Share (15%)</w:t>
            </w:r>
          </w:p>
        </w:tc>
        <w:tc>
          <w:tcPr>
            <w:tcW w:w="736" w:type="dxa"/>
            <w:tcBorders>
              <w:top w:val="single" w:sz="4" w:space="0" w:color="000000"/>
              <w:left w:val="single" w:sz="4" w:space="0" w:color="000000"/>
              <w:bottom w:val="single" w:sz="3" w:space="0" w:color="000000"/>
              <w:right w:val="single" w:sz="4" w:space="0" w:color="000000"/>
            </w:tcBorders>
          </w:tcPr>
          <w:p w:rsidR="001C682A" w:rsidRDefault="00B03C38">
            <w:pPr>
              <w:spacing w:after="0" w:line="259" w:lineRule="auto"/>
              <w:ind w:left="0" w:right="19" w:firstLine="0"/>
              <w:jc w:val="right"/>
            </w:pPr>
            <w:r>
              <w:rPr>
                <w:sz w:val="12"/>
              </w:rPr>
              <w:t>304.41</w:t>
            </w:r>
          </w:p>
        </w:tc>
        <w:tc>
          <w:tcPr>
            <w:tcW w:w="526" w:type="dxa"/>
            <w:tcBorders>
              <w:top w:val="single" w:sz="4" w:space="0" w:color="000000"/>
              <w:left w:val="single" w:sz="4" w:space="0" w:color="000000"/>
              <w:bottom w:val="single" w:sz="3" w:space="0" w:color="000000"/>
              <w:right w:val="single" w:sz="4" w:space="0" w:color="000000"/>
            </w:tcBorders>
          </w:tcPr>
          <w:p w:rsidR="001C682A" w:rsidRDefault="00B03C38">
            <w:pPr>
              <w:spacing w:after="0" w:line="259" w:lineRule="auto"/>
              <w:ind w:left="0" w:right="20" w:firstLine="0"/>
              <w:jc w:val="right"/>
            </w:pPr>
            <w:r>
              <w:rPr>
                <w:sz w:val="12"/>
              </w:rPr>
              <w:t>126.84</w:t>
            </w:r>
          </w:p>
        </w:tc>
        <w:tc>
          <w:tcPr>
            <w:tcW w:w="622" w:type="dxa"/>
            <w:tcBorders>
              <w:top w:val="single" w:sz="4" w:space="0" w:color="000000"/>
              <w:left w:val="single" w:sz="4" w:space="0" w:color="000000"/>
              <w:bottom w:val="single" w:sz="3" w:space="0" w:color="000000"/>
              <w:right w:val="single" w:sz="3" w:space="0" w:color="000000"/>
            </w:tcBorders>
          </w:tcPr>
          <w:p w:rsidR="001C682A" w:rsidRDefault="00B03C38">
            <w:pPr>
              <w:spacing w:after="0" w:line="259" w:lineRule="auto"/>
              <w:ind w:left="0" w:right="19" w:firstLine="0"/>
              <w:jc w:val="right"/>
            </w:pPr>
            <w:r>
              <w:rPr>
                <w:sz w:val="12"/>
              </w:rPr>
              <w:t>72.95</w:t>
            </w:r>
          </w:p>
        </w:tc>
        <w:tc>
          <w:tcPr>
            <w:tcW w:w="645" w:type="dxa"/>
            <w:tcBorders>
              <w:top w:val="single" w:sz="4" w:space="0" w:color="000000"/>
              <w:left w:val="single" w:sz="3" w:space="0" w:color="000000"/>
              <w:bottom w:val="single" w:sz="3" w:space="0" w:color="000000"/>
              <w:right w:val="single" w:sz="3" w:space="0" w:color="000000"/>
            </w:tcBorders>
          </w:tcPr>
          <w:p w:rsidR="001C682A" w:rsidRDefault="00B03C38">
            <w:pPr>
              <w:spacing w:after="0" w:line="259" w:lineRule="auto"/>
              <w:ind w:left="0" w:right="15" w:firstLine="0"/>
              <w:jc w:val="right"/>
            </w:pPr>
            <w:r>
              <w:rPr>
                <w:sz w:val="12"/>
              </w:rPr>
              <w:t>(53.89)</w:t>
            </w:r>
          </w:p>
        </w:tc>
        <w:tc>
          <w:tcPr>
            <w:tcW w:w="547" w:type="dxa"/>
            <w:tcBorders>
              <w:top w:val="single" w:sz="4" w:space="0" w:color="000000"/>
              <w:left w:val="single" w:sz="3" w:space="0" w:color="000000"/>
              <w:bottom w:val="single" w:sz="3" w:space="0" w:color="000000"/>
              <w:right w:val="single" w:sz="3" w:space="0" w:color="000000"/>
            </w:tcBorders>
          </w:tcPr>
          <w:p w:rsidR="001C682A" w:rsidRDefault="00B03C38">
            <w:pPr>
              <w:spacing w:after="0" w:line="259" w:lineRule="auto"/>
              <w:ind w:left="0" w:right="16" w:firstLine="0"/>
              <w:jc w:val="right"/>
            </w:pPr>
            <w:r>
              <w:rPr>
                <w:sz w:val="12"/>
              </w:rPr>
              <w:t>-42.5%</w:t>
            </w:r>
          </w:p>
        </w:tc>
      </w:tr>
      <w:tr w:rsidR="001C682A">
        <w:trPr>
          <w:trHeight w:val="161"/>
        </w:trPr>
        <w:tc>
          <w:tcPr>
            <w:tcW w:w="240" w:type="dxa"/>
            <w:tcBorders>
              <w:top w:val="single" w:sz="3" w:space="0" w:color="000000"/>
              <w:left w:val="single" w:sz="3" w:space="0" w:color="000000"/>
              <w:bottom w:val="single" w:sz="3" w:space="0" w:color="000000"/>
              <w:right w:val="single" w:sz="7" w:space="0" w:color="000000"/>
            </w:tcBorders>
          </w:tcPr>
          <w:p w:rsidR="001C682A" w:rsidRDefault="00B03C38">
            <w:pPr>
              <w:spacing w:after="0" w:line="259" w:lineRule="auto"/>
              <w:ind w:left="0" w:right="21" w:firstLine="0"/>
              <w:jc w:val="right"/>
            </w:pPr>
            <w:r>
              <w:rPr>
                <w:sz w:val="10"/>
              </w:rPr>
              <w:t>v</w:t>
            </w:r>
          </w:p>
        </w:tc>
        <w:tc>
          <w:tcPr>
            <w:tcW w:w="1547" w:type="dxa"/>
            <w:tcBorders>
              <w:top w:val="single" w:sz="3" w:space="0" w:color="000000"/>
              <w:left w:val="single" w:sz="7" w:space="0" w:color="000000"/>
              <w:bottom w:val="single" w:sz="3" w:space="0" w:color="000000"/>
              <w:right w:val="single" w:sz="4" w:space="0" w:color="000000"/>
            </w:tcBorders>
          </w:tcPr>
          <w:p w:rsidR="001C682A" w:rsidRDefault="00B03C38">
            <w:pPr>
              <w:spacing w:after="0" w:line="259" w:lineRule="auto"/>
              <w:ind w:left="5" w:firstLine="0"/>
              <w:jc w:val="left"/>
            </w:pPr>
            <w:r>
              <w:rPr>
                <w:sz w:val="12"/>
              </w:rPr>
              <w:t>States' Share (50%)</w:t>
            </w:r>
          </w:p>
        </w:tc>
        <w:tc>
          <w:tcPr>
            <w:tcW w:w="736" w:type="dxa"/>
            <w:tcBorders>
              <w:top w:val="single" w:sz="3" w:space="0" w:color="000000"/>
              <w:left w:val="single" w:sz="4" w:space="0" w:color="000000"/>
              <w:bottom w:val="single" w:sz="3" w:space="0" w:color="000000"/>
              <w:right w:val="single" w:sz="4" w:space="0" w:color="000000"/>
            </w:tcBorders>
          </w:tcPr>
          <w:p w:rsidR="001C682A" w:rsidRDefault="00B03C38">
            <w:pPr>
              <w:spacing w:after="0" w:line="259" w:lineRule="auto"/>
              <w:ind w:left="0" w:right="19" w:firstLine="0"/>
              <w:jc w:val="right"/>
            </w:pPr>
            <w:r>
              <w:rPr>
                <w:sz w:val="12"/>
              </w:rPr>
              <w:t>1,014.69</w:t>
            </w:r>
          </w:p>
        </w:tc>
        <w:tc>
          <w:tcPr>
            <w:tcW w:w="526" w:type="dxa"/>
            <w:tcBorders>
              <w:top w:val="single" w:sz="3" w:space="0" w:color="000000"/>
              <w:left w:val="single" w:sz="4" w:space="0" w:color="000000"/>
              <w:bottom w:val="single" w:sz="3" w:space="0" w:color="000000"/>
              <w:right w:val="single" w:sz="4" w:space="0" w:color="000000"/>
            </w:tcBorders>
          </w:tcPr>
          <w:p w:rsidR="001C682A" w:rsidRDefault="00B03C38">
            <w:pPr>
              <w:spacing w:after="0" w:line="259" w:lineRule="auto"/>
              <w:ind w:left="0" w:right="20" w:firstLine="0"/>
              <w:jc w:val="right"/>
            </w:pPr>
            <w:r>
              <w:rPr>
                <w:sz w:val="12"/>
              </w:rPr>
              <w:t>422.79</w:t>
            </w:r>
          </w:p>
        </w:tc>
        <w:tc>
          <w:tcPr>
            <w:tcW w:w="622" w:type="dxa"/>
            <w:tcBorders>
              <w:top w:val="single" w:sz="3" w:space="0" w:color="000000"/>
              <w:left w:val="single" w:sz="4" w:space="0" w:color="000000"/>
              <w:bottom w:val="single" w:sz="3" w:space="0" w:color="000000"/>
              <w:right w:val="single" w:sz="3" w:space="0" w:color="000000"/>
            </w:tcBorders>
          </w:tcPr>
          <w:p w:rsidR="001C682A" w:rsidRDefault="00B03C38">
            <w:pPr>
              <w:spacing w:after="0" w:line="259" w:lineRule="auto"/>
              <w:ind w:left="0" w:right="19" w:firstLine="0"/>
              <w:jc w:val="right"/>
            </w:pPr>
            <w:r>
              <w:rPr>
                <w:sz w:val="12"/>
              </w:rPr>
              <w:t>243.17</w:t>
            </w:r>
          </w:p>
        </w:tc>
        <w:tc>
          <w:tcPr>
            <w:tcW w:w="645" w:type="dxa"/>
            <w:tcBorders>
              <w:top w:val="single" w:sz="3" w:space="0" w:color="000000"/>
              <w:left w:val="single" w:sz="3" w:space="0" w:color="000000"/>
              <w:bottom w:val="single" w:sz="3" w:space="0" w:color="000000"/>
              <w:right w:val="single" w:sz="3" w:space="0" w:color="000000"/>
            </w:tcBorders>
          </w:tcPr>
          <w:p w:rsidR="001C682A" w:rsidRDefault="00B03C38">
            <w:pPr>
              <w:spacing w:after="0" w:line="259" w:lineRule="auto"/>
              <w:ind w:left="0" w:right="15" w:firstLine="0"/>
              <w:jc w:val="right"/>
            </w:pPr>
            <w:r>
              <w:rPr>
                <w:sz w:val="12"/>
              </w:rPr>
              <w:t>(179.62)</w:t>
            </w:r>
          </w:p>
        </w:tc>
        <w:tc>
          <w:tcPr>
            <w:tcW w:w="547" w:type="dxa"/>
            <w:tcBorders>
              <w:top w:val="single" w:sz="3" w:space="0" w:color="000000"/>
              <w:left w:val="single" w:sz="3" w:space="0" w:color="000000"/>
              <w:bottom w:val="single" w:sz="3" w:space="0" w:color="000000"/>
              <w:right w:val="single" w:sz="3" w:space="0" w:color="000000"/>
            </w:tcBorders>
          </w:tcPr>
          <w:p w:rsidR="001C682A" w:rsidRDefault="00B03C38">
            <w:pPr>
              <w:spacing w:after="0" w:line="259" w:lineRule="auto"/>
              <w:ind w:left="0" w:right="16" w:firstLine="0"/>
              <w:jc w:val="right"/>
            </w:pPr>
            <w:r>
              <w:rPr>
                <w:sz w:val="12"/>
              </w:rPr>
              <w:t>-42.5%</w:t>
            </w:r>
          </w:p>
        </w:tc>
      </w:tr>
      <w:tr w:rsidR="001C682A">
        <w:trPr>
          <w:trHeight w:val="163"/>
        </w:trPr>
        <w:tc>
          <w:tcPr>
            <w:tcW w:w="240" w:type="dxa"/>
            <w:tcBorders>
              <w:top w:val="single" w:sz="3" w:space="0" w:color="000000"/>
              <w:left w:val="single" w:sz="3" w:space="0" w:color="000000"/>
              <w:bottom w:val="single" w:sz="5" w:space="0" w:color="000000"/>
              <w:right w:val="single" w:sz="7" w:space="0" w:color="000000"/>
            </w:tcBorders>
          </w:tcPr>
          <w:p w:rsidR="001C682A" w:rsidRDefault="00B03C38">
            <w:pPr>
              <w:spacing w:after="0" w:line="259" w:lineRule="auto"/>
              <w:ind w:left="0" w:right="13" w:firstLine="0"/>
              <w:jc w:val="right"/>
            </w:pPr>
            <w:r>
              <w:rPr>
                <w:sz w:val="10"/>
              </w:rPr>
              <w:t>vi</w:t>
            </w:r>
          </w:p>
        </w:tc>
        <w:tc>
          <w:tcPr>
            <w:tcW w:w="1547" w:type="dxa"/>
            <w:tcBorders>
              <w:top w:val="single" w:sz="3" w:space="0" w:color="000000"/>
              <w:left w:val="single" w:sz="7" w:space="0" w:color="000000"/>
              <w:bottom w:val="single" w:sz="5" w:space="0" w:color="000000"/>
              <w:right w:val="single" w:sz="4" w:space="0" w:color="000000"/>
            </w:tcBorders>
          </w:tcPr>
          <w:p w:rsidR="001C682A" w:rsidRDefault="00B03C38">
            <w:pPr>
              <w:spacing w:after="0" w:line="259" w:lineRule="auto"/>
              <w:ind w:left="5" w:firstLine="0"/>
              <w:jc w:val="left"/>
            </w:pPr>
            <w:r>
              <w:rPr>
                <w:sz w:val="12"/>
              </w:rPr>
              <w:t>Local Govt.'s Share (35%)</w:t>
            </w:r>
          </w:p>
        </w:tc>
        <w:tc>
          <w:tcPr>
            <w:tcW w:w="736" w:type="dxa"/>
            <w:tcBorders>
              <w:top w:val="single" w:sz="3" w:space="0" w:color="000000"/>
              <w:left w:val="single" w:sz="4" w:space="0" w:color="000000"/>
              <w:bottom w:val="single" w:sz="5" w:space="0" w:color="000000"/>
              <w:right w:val="single" w:sz="4" w:space="0" w:color="000000"/>
            </w:tcBorders>
          </w:tcPr>
          <w:p w:rsidR="001C682A" w:rsidRDefault="00B03C38">
            <w:pPr>
              <w:spacing w:after="0" w:line="259" w:lineRule="auto"/>
              <w:ind w:left="0" w:right="19" w:firstLine="0"/>
              <w:jc w:val="right"/>
            </w:pPr>
            <w:r>
              <w:rPr>
                <w:sz w:val="12"/>
              </w:rPr>
              <w:t>710.29</w:t>
            </w:r>
          </w:p>
        </w:tc>
        <w:tc>
          <w:tcPr>
            <w:tcW w:w="526" w:type="dxa"/>
            <w:tcBorders>
              <w:top w:val="single" w:sz="3" w:space="0" w:color="000000"/>
              <w:left w:val="single" w:sz="4" w:space="0" w:color="000000"/>
              <w:bottom w:val="single" w:sz="5" w:space="0" w:color="000000"/>
              <w:right w:val="single" w:sz="4" w:space="0" w:color="000000"/>
            </w:tcBorders>
          </w:tcPr>
          <w:p w:rsidR="001C682A" w:rsidRDefault="00B03C38">
            <w:pPr>
              <w:spacing w:after="0" w:line="259" w:lineRule="auto"/>
              <w:ind w:left="0" w:right="20" w:firstLine="0"/>
              <w:jc w:val="right"/>
            </w:pPr>
            <w:r>
              <w:rPr>
                <w:sz w:val="12"/>
              </w:rPr>
              <w:t>295.95</w:t>
            </w:r>
          </w:p>
        </w:tc>
        <w:tc>
          <w:tcPr>
            <w:tcW w:w="622" w:type="dxa"/>
            <w:tcBorders>
              <w:top w:val="single" w:sz="3" w:space="0" w:color="000000"/>
              <w:left w:val="single" w:sz="4" w:space="0" w:color="000000"/>
              <w:bottom w:val="single" w:sz="5" w:space="0" w:color="000000"/>
              <w:right w:val="single" w:sz="3" w:space="0" w:color="000000"/>
            </w:tcBorders>
          </w:tcPr>
          <w:p w:rsidR="001C682A" w:rsidRDefault="00B03C38">
            <w:pPr>
              <w:spacing w:after="0" w:line="259" w:lineRule="auto"/>
              <w:ind w:left="0" w:right="19" w:firstLine="0"/>
              <w:jc w:val="right"/>
            </w:pPr>
            <w:r>
              <w:rPr>
                <w:sz w:val="12"/>
              </w:rPr>
              <w:t>170.22</w:t>
            </w:r>
          </w:p>
        </w:tc>
        <w:tc>
          <w:tcPr>
            <w:tcW w:w="645" w:type="dxa"/>
            <w:tcBorders>
              <w:top w:val="single" w:sz="3" w:space="0" w:color="000000"/>
              <w:left w:val="single" w:sz="3" w:space="0" w:color="000000"/>
              <w:bottom w:val="single" w:sz="5" w:space="0" w:color="000000"/>
              <w:right w:val="single" w:sz="3" w:space="0" w:color="000000"/>
            </w:tcBorders>
          </w:tcPr>
          <w:p w:rsidR="001C682A" w:rsidRDefault="00B03C38">
            <w:pPr>
              <w:spacing w:after="0" w:line="259" w:lineRule="auto"/>
              <w:ind w:left="0" w:right="15" w:firstLine="0"/>
              <w:jc w:val="right"/>
            </w:pPr>
            <w:r>
              <w:rPr>
                <w:sz w:val="12"/>
              </w:rPr>
              <w:t>(125.73)</w:t>
            </w:r>
          </w:p>
        </w:tc>
        <w:tc>
          <w:tcPr>
            <w:tcW w:w="547" w:type="dxa"/>
            <w:tcBorders>
              <w:top w:val="single" w:sz="3" w:space="0" w:color="000000"/>
              <w:left w:val="single" w:sz="3" w:space="0" w:color="000000"/>
              <w:bottom w:val="single" w:sz="5" w:space="0" w:color="000000"/>
              <w:right w:val="single" w:sz="3" w:space="0" w:color="000000"/>
            </w:tcBorders>
          </w:tcPr>
          <w:p w:rsidR="001C682A" w:rsidRDefault="00B03C38">
            <w:pPr>
              <w:spacing w:after="0" w:line="259" w:lineRule="auto"/>
              <w:ind w:left="0" w:right="16" w:firstLine="0"/>
              <w:jc w:val="right"/>
            </w:pPr>
            <w:r>
              <w:rPr>
                <w:sz w:val="12"/>
              </w:rPr>
              <w:t>-42.5%</w:t>
            </w:r>
          </w:p>
        </w:tc>
      </w:tr>
    </w:tbl>
    <w:bookmarkEnd w:id="35"/>
    <w:p w:rsidR="001C682A" w:rsidRDefault="00B03C38">
      <w:pPr>
        <w:spacing w:after="7" w:line="273" w:lineRule="auto"/>
        <w:ind w:left="213" w:right="1625"/>
        <w:jc w:val="left"/>
      </w:pPr>
      <w:r>
        <w:t xml:space="preserve">The amount available for distribution from the Federation Account was N2.21 trillion. Of this, the Federal Government received N1.17 trillion while the States and </w:t>
      </w:r>
      <w:r>
        <w:tab/>
        <w:t xml:space="preserve">Local </w:t>
      </w:r>
      <w:r>
        <w:tab/>
        <w:t xml:space="preserve">Governments </w:t>
      </w:r>
      <w:r>
        <w:tab/>
        <w:t xml:space="preserve">received N591.52 billion and N456.04 billion respectively. Federal, State and Local governments received N72.95 billion, N243.17 billion and N170.22 billion </w:t>
      </w:r>
    </w:p>
    <w:p w:rsidR="001C682A" w:rsidRDefault="00B03C38">
      <w:pPr>
        <w:spacing w:after="123"/>
        <w:ind w:left="236" w:right="816"/>
      </w:pPr>
      <w:r>
        <w:t xml:space="preserve">respectively from the VAT Pool Account.  </w:t>
      </w:r>
      <w:r>
        <w:rPr>
          <w:i/>
          <w:sz w:val="16"/>
        </w:rPr>
        <w:t>Source:</w:t>
      </w:r>
      <w:r>
        <w:rPr>
          <w:sz w:val="16"/>
        </w:rPr>
        <w:t xml:space="preserve"> BOF, OAGF, PRMRC </w:t>
      </w:r>
    </w:p>
    <w:p w:rsidR="001C682A" w:rsidRDefault="00B03C38">
      <w:pPr>
        <w:spacing w:after="184" w:line="259" w:lineRule="auto"/>
        <w:ind w:left="218" w:firstLine="0"/>
        <w:jc w:val="left"/>
      </w:pPr>
      <w:r>
        <w:rPr>
          <w:sz w:val="16"/>
        </w:rPr>
        <w:t xml:space="preserve"> </w:t>
      </w:r>
    </w:p>
    <w:p w:rsidR="001C682A" w:rsidRDefault="00B03C38">
      <w:pPr>
        <w:spacing w:after="0" w:line="259" w:lineRule="auto"/>
        <w:ind w:left="218" w:firstLine="0"/>
        <w:jc w:val="left"/>
      </w:pPr>
      <w:r>
        <w:rPr>
          <w:sz w:val="16"/>
        </w:rPr>
        <w:t xml:space="preserve"> </w:t>
      </w:r>
    </w:p>
    <w:p w:rsidR="001A454C" w:rsidRDefault="001A454C">
      <w:pPr>
        <w:pStyle w:val="Heading5"/>
        <w:spacing w:after="36" w:line="259" w:lineRule="auto"/>
        <w:ind w:left="213"/>
        <w:rPr>
          <w:rFonts w:ascii="Arial" w:eastAsia="Arial" w:hAnsi="Arial" w:cs="Arial"/>
          <w:i/>
          <w:color w:val="2F5496"/>
          <w:sz w:val="26"/>
        </w:rPr>
      </w:pPr>
      <w:bookmarkStart w:id="36" w:name="_Toc389390"/>
    </w:p>
    <w:p w:rsidR="004A1AD3" w:rsidRDefault="004A1AD3" w:rsidP="004A1AD3"/>
    <w:p w:rsidR="004A1AD3" w:rsidRDefault="004A1AD3" w:rsidP="004A1AD3"/>
    <w:p w:rsidR="004A1AD3" w:rsidRPr="004A1AD3" w:rsidRDefault="004A1AD3" w:rsidP="004A1AD3"/>
    <w:p w:rsidR="001A454C" w:rsidRDefault="001A454C">
      <w:pPr>
        <w:pStyle w:val="Heading5"/>
        <w:spacing w:after="36" w:line="259" w:lineRule="auto"/>
        <w:ind w:left="213"/>
        <w:rPr>
          <w:rFonts w:ascii="Arial" w:eastAsia="Arial" w:hAnsi="Arial" w:cs="Arial"/>
          <w:i/>
          <w:color w:val="2F5496"/>
          <w:sz w:val="26"/>
        </w:rPr>
      </w:pPr>
    </w:p>
    <w:p w:rsidR="004A1AD3" w:rsidRPr="004A1AD3" w:rsidRDefault="004A1AD3" w:rsidP="004A1AD3"/>
    <w:p w:rsidR="001A454C" w:rsidRDefault="001A454C">
      <w:pPr>
        <w:pStyle w:val="Heading5"/>
        <w:spacing w:after="36" w:line="259" w:lineRule="auto"/>
        <w:ind w:left="213"/>
        <w:rPr>
          <w:rFonts w:ascii="Arial" w:eastAsia="Arial" w:hAnsi="Arial" w:cs="Arial"/>
          <w:i/>
          <w:color w:val="2F5496"/>
          <w:sz w:val="26"/>
        </w:rPr>
      </w:pPr>
    </w:p>
    <w:p w:rsidR="001A454C" w:rsidRDefault="001A454C">
      <w:pPr>
        <w:pStyle w:val="Heading5"/>
        <w:spacing w:after="36" w:line="259" w:lineRule="auto"/>
        <w:ind w:left="213"/>
        <w:rPr>
          <w:rFonts w:ascii="Arial" w:eastAsia="Arial" w:hAnsi="Arial" w:cs="Arial"/>
          <w:i/>
          <w:color w:val="2F5496"/>
          <w:sz w:val="26"/>
        </w:rPr>
      </w:pPr>
    </w:p>
    <w:p w:rsidR="001A454C" w:rsidRDefault="001A454C">
      <w:pPr>
        <w:pStyle w:val="Heading5"/>
        <w:spacing w:after="36" w:line="259" w:lineRule="auto"/>
        <w:ind w:left="213"/>
        <w:rPr>
          <w:rFonts w:ascii="Arial" w:eastAsia="Arial" w:hAnsi="Arial" w:cs="Arial"/>
          <w:i/>
          <w:color w:val="2F5496"/>
          <w:sz w:val="26"/>
        </w:rPr>
      </w:pPr>
    </w:p>
    <w:p w:rsidR="001C682A" w:rsidRDefault="00B03C38">
      <w:pPr>
        <w:pStyle w:val="Heading5"/>
        <w:spacing w:after="36" w:line="259" w:lineRule="auto"/>
        <w:ind w:left="213"/>
      </w:pPr>
      <w:r>
        <w:rPr>
          <w:rFonts w:ascii="Arial" w:eastAsia="Arial" w:hAnsi="Arial" w:cs="Arial"/>
          <w:i/>
          <w:color w:val="2F5496"/>
          <w:sz w:val="26"/>
        </w:rPr>
        <w:t xml:space="preserve">4.1.3 FGN Revenue </w:t>
      </w:r>
      <w:bookmarkEnd w:id="36"/>
    </w:p>
    <w:p w:rsidR="001C682A" w:rsidRDefault="00B03C38">
      <w:pPr>
        <w:spacing w:after="122" w:line="259" w:lineRule="auto"/>
        <w:ind w:left="213"/>
        <w:jc w:val="left"/>
      </w:pPr>
      <w:bookmarkStart w:id="37" w:name="_Hlk49583033"/>
      <w:r>
        <w:rPr>
          <w:rFonts w:ascii="Franklin Gothic Book" w:eastAsia="Franklin Gothic Book" w:hAnsi="Franklin Gothic Book" w:cs="Franklin Gothic Book"/>
          <w:sz w:val="20"/>
        </w:rPr>
        <w:t>Table 4.3 FGN Revenue Profile (Jan–May) 2020 (</w:t>
      </w:r>
      <w:proofErr w:type="spellStart"/>
      <w:r>
        <w:rPr>
          <w:rFonts w:ascii="Franklin Gothic Book" w:eastAsia="Franklin Gothic Book" w:hAnsi="Franklin Gothic Book" w:cs="Franklin Gothic Book"/>
          <w:sz w:val="20"/>
        </w:rPr>
        <w:t>N’Billion</w:t>
      </w:r>
      <w:proofErr w:type="spellEnd"/>
      <w:r>
        <w:rPr>
          <w:rFonts w:ascii="Franklin Gothic Book" w:eastAsia="Franklin Gothic Book" w:hAnsi="Franklin Gothic Book" w:cs="Franklin Gothic Book"/>
          <w:sz w:val="20"/>
        </w:rPr>
        <w:t xml:space="preserve">) </w:t>
      </w:r>
    </w:p>
    <w:tbl>
      <w:tblPr>
        <w:tblStyle w:val="TableGrid"/>
        <w:tblpPr w:vertAnchor="text" w:tblpX="225" w:tblpYSpec="bottom"/>
        <w:tblOverlap w:val="never"/>
        <w:tblW w:w="5294" w:type="dxa"/>
        <w:tblInd w:w="0" w:type="dxa"/>
        <w:tblCellMar>
          <w:top w:w="15" w:type="dxa"/>
          <w:left w:w="23" w:type="dxa"/>
          <w:bottom w:w="1" w:type="dxa"/>
          <w:right w:w="13" w:type="dxa"/>
        </w:tblCellMar>
        <w:tblLook w:val="04A0" w:firstRow="1" w:lastRow="0" w:firstColumn="1" w:lastColumn="0" w:noHBand="0" w:noVBand="1"/>
      </w:tblPr>
      <w:tblGrid>
        <w:gridCol w:w="270"/>
        <w:gridCol w:w="2109"/>
        <w:gridCol w:w="639"/>
        <w:gridCol w:w="600"/>
        <w:gridCol w:w="601"/>
        <w:gridCol w:w="610"/>
        <w:gridCol w:w="465"/>
      </w:tblGrid>
      <w:tr w:rsidR="001C682A">
        <w:trPr>
          <w:trHeight w:val="412"/>
        </w:trPr>
        <w:tc>
          <w:tcPr>
            <w:tcW w:w="270" w:type="dxa"/>
            <w:tcBorders>
              <w:top w:val="single" w:sz="2" w:space="0" w:color="000000"/>
              <w:left w:val="single" w:sz="4" w:space="0" w:color="000000"/>
              <w:bottom w:val="single" w:sz="4" w:space="0" w:color="000000"/>
              <w:right w:val="single" w:sz="4" w:space="0" w:color="000000"/>
            </w:tcBorders>
            <w:shd w:val="clear" w:color="auto" w:fill="1F4E78"/>
          </w:tcPr>
          <w:p w:rsidR="001C682A" w:rsidRDefault="001C682A">
            <w:pPr>
              <w:spacing w:after="160" w:line="259" w:lineRule="auto"/>
              <w:ind w:left="0" w:firstLine="0"/>
              <w:jc w:val="left"/>
            </w:pPr>
          </w:p>
        </w:tc>
        <w:tc>
          <w:tcPr>
            <w:tcW w:w="2110" w:type="dxa"/>
            <w:tcBorders>
              <w:top w:val="single" w:sz="2" w:space="0" w:color="000000"/>
              <w:left w:val="single" w:sz="4" w:space="0" w:color="000000"/>
              <w:bottom w:val="single" w:sz="4" w:space="0" w:color="000000"/>
              <w:right w:val="single" w:sz="4" w:space="0" w:color="000000"/>
            </w:tcBorders>
            <w:shd w:val="clear" w:color="auto" w:fill="1F4E78"/>
          </w:tcPr>
          <w:p w:rsidR="001C682A" w:rsidRDefault="001C682A">
            <w:pPr>
              <w:spacing w:after="160" w:line="259" w:lineRule="auto"/>
              <w:ind w:left="0" w:firstLine="0"/>
              <w:jc w:val="left"/>
            </w:pPr>
          </w:p>
        </w:tc>
        <w:tc>
          <w:tcPr>
            <w:tcW w:w="1840" w:type="dxa"/>
            <w:gridSpan w:val="3"/>
            <w:tcBorders>
              <w:top w:val="single" w:sz="2" w:space="0" w:color="000000"/>
              <w:left w:val="single" w:sz="4" w:space="0" w:color="000000"/>
              <w:bottom w:val="single" w:sz="4" w:space="0" w:color="000000"/>
              <w:right w:val="single" w:sz="4" w:space="0" w:color="000000"/>
            </w:tcBorders>
            <w:shd w:val="clear" w:color="auto" w:fill="1F4E78"/>
          </w:tcPr>
          <w:p w:rsidR="001C682A" w:rsidRDefault="00B03C38">
            <w:pPr>
              <w:spacing w:after="0" w:line="259" w:lineRule="auto"/>
              <w:ind w:left="176" w:firstLine="0"/>
              <w:jc w:val="left"/>
            </w:pPr>
            <w:r>
              <w:rPr>
                <w:b/>
                <w:color w:val="FFFFFF"/>
                <w:sz w:val="11"/>
              </w:rPr>
              <w:t xml:space="preserve">2020 </w:t>
            </w:r>
          </w:p>
          <w:p w:rsidR="001C682A" w:rsidRDefault="00B03C38">
            <w:pPr>
              <w:tabs>
                <w:tab w:val="center" w:pos="917"/>
                <w:tab w:val="right" w:pos="1803"/>
              </w:tabs>
              <w:spacing w:after="0" w:line="259" w:lineRule="auto"/>
              <w:ind w:left="0" w:firstLine="0"/>
              <w:jc w:val="left"/>
            </w:pPr>
            <w:r>
              <w:rPr>
                <w:rFonts w:ascii="Calibri" w:eastAsia="Calibri" w:hAnsi="Calibri" w:cs="Calibri"/>
              </w:rPr>
              <w:tab/>
            </w:r>
            <w:r>
              <w:rPr>
                <w:b/>
                <w:color w:val="FFFFFF"/>
                <w:sz w:val="11"/>
              </w:rPr>
              <w:t>Pro Rata</w:t>
            </w:r>
            <w:r>
              <w:rPr>
                <w:b/>
                <w:color w:val="FFFFFF"/>
                <w:sz w:val="11"/>
              </w:rPr>
              <w:tab/>
              <w:t xml:space="preserve">Actuals </w:t>
            </w:r>
          </w:p>
          <w:p w:rsidR="001C682A" w:rsidRDefault="00B03C38">
            <w:pPr>
              <w:spacing w:after="0" w:line="259" w:lineRule="auto"/>
              <w:ind w:left="89" w:firstLine="0"/>
              <w:jc w:val="left"/>
            </w:pPr>
            <w:r>
              <w:rPr>
                <w:b/>
                <w:color w:val="FFFFFF"/>
                <w:sz w:val="11"/>
              </w:rPr>
              <w:t xml:space="preserve">Revised </w:t>
            </w:r>
          </w:p>
          <w:p w:rsidR="001C682A" w:rsidRDefault="00B03C38">
            <w:pPr>
              <w:spacing w:after="0" w:line="259" w:lineRule="auto"/>
              <w:ind w:left="108" w:firstLine="542"/>
            </w:pPr>
            <w:r>
              <w:rPr>
                <w:b/>
                <w:color w:val="FFFFFF"/>
                <w:sz w:val="11"/>
              </w:rPr>
              <w:t xml:space="preserve"> (Jan-May) (Jan-May) Budget</w:t>
            </w:r>
          </w:p>
        </w:tc>
        <w:tc>
          <w:tcPr>
            <w:tcW w:w="1075" w:type="dxa"/>
            <w:gridSpan w:val="2"/>
            <w:tcBorders>
              <w:top w:val="single" w:sz="2" w:space="0" w:color="000000"/>
              <w:left w:val="single" w:sz="4" w:space="0" w:color="000000"/>
              <w:bottom w:val="single" w:sz="4" w:space="0" w:color="000000"/>
              <w:right w:val="single" w:sz="3" w:space="0" w:color="000000"/>
            </w:tcBorders>
            <w:shd w:val="clear" w:color="auto" w:fill="1F4E78"/>
            <w:vAlign w:val="center"/>
          </w:tcPr>
          <w:p w:rsidR="001C682A" w:rsidRDefault="00B03C38">
            <w:pPr>
              <w:spacing w:after="0" w:line="259" w:lineRule="auto"/>
              <w:ind w:left="2" w:firstLine="0"/>
              <w:jc w:val="center"/>
            </w:pPr>
            <w:r>
              <w:rPr>
                <w:b/>
                <w:color w:val="FFFFFF"/>
                <w:sz w:val="11"/>
              </w:rPr>
              <w:t>Variance</w:t>
            </w:r>
          </w:p>
        </w:tc>
      </w:tr>
      <w:tr w:rsidR="001C682A">
        <w:trPr>
          <w:trHeight w:val="288"/>
        </w:trPr>
        <w:tc>
          <w:tcPr>
            <w:tcW w:w="270" w:type="dxa"/>
            <w:tcBorders>
              <w:top w:val="single" w:sz="4" w:space="0" w:color="000000"/>
              <w:left w:val="single" w:sz="4" w:space="0" w:color="000000"/>
              <w:bottom w:val="single" w:sz="8" w:space="0" w:color="000000"/>
              <w:right w:val="single" w:sz="4" w:space="0" w:color="000000"/>
            </w:tcBorders>
            <w:shd w:val="clear" w:color="auto" w:fill="1F4E78"/>
          </w:tcPr>
          <w:p w:rsidR="001C682A" w:rsidRDefault="001C682A">
            <w:pPr>
              <w:spacing w:after="160" w:line="259" w:lineRule="auto"/>
              <w:ind w:left="0" w:firstLine="0"/>
              <w:jc w:val="left"/>
            </w:pPr>
          </w:p>
        </w:tc>
        <w:tc>
          <w:tcPr>
            <w:tcW w:w="2110" w:type="dxa"/>
            <w:tcBorders>
              <w:top w:val="single" w:sz="4" w:space="0" w:color="000000"/>
              <w:left w:val="single" w:sz="4" w:space="0" w:color="000000"/>
              <w:bottom w:val="single" w:sz="8" w:space="0" w:color="000000"/>
              <w:right w:val="single" w:sz="4" w:space="0" w:color="000000"/>
            </w:tcBorders>
            <w:shd w:val="clear" w:color="auto" w:fill="1F4E78"/>
          </w:tcPr>
          <w:p w:rsidR="001C682A" w:rsidRDefault="001C682A">
            <w:pPr>
              <w:spacing w:after="160" w:line="259" w:lineRule="auto"/>
              <w:ind w:left="0" w:firstLine="0"/>
              <w:jc w:val="left"/>
            </w:pPr>
          </w:p>
        </w:tc>
        <w:tc>
          <w:tcPr>
            <w:tcW w:w="1840" w:type="dxa"/>
            <w:gridSpan w:val="3"/>
            <w:tcBorders>
              <w:top w:val="single" w:sz="4" w:space="0" w:color="000000"/>
              <w:left w:val="single" w:sz="4" w:space="0" w:color="000000"/>
              <w:bottom w:val="single" w:sz="8" w:space="0" w:color="000000"/>
              <w:right w:val="single" w:sz="4" w:space="0" w:color="000000"/>
            </w:tcBorders>
            <w:shd w:val="clear" w:color="auto" w:fill="1F4E78"/>
          </w:tcPr>
          <w:p w:rsidR="001C682A" w:rsidRDefault="00B03C38">
            <w:pPr>
              <w:spacing w:after="0" w:line="259" w:lineRule="auto"/>
              <w:ind w:left="0" w:right="19" w:firstLine="0"/>
              <w:jc w:val="center"/>
            </w:pPr>
            <w:r>
              <w:rPr>
                <w:b/>
                <w:color w:val="FFFFFF"/>
                <w:sz w:val="11"/>
              </w:rPr>
              <w:t>Billions of Naira</w:t>
            </w:r>
          </w:p>
        </w:tc>
        <w:tc>
          <w:tcPr>
            <w:tcW w:w="1075" w:type="dxa"/>
            <w:gridSpan w:val="2"/>
            <w:tcBorders>
              <w:top w:val="single" w:sz="4" w:space="0" w:color="000000"/>
              <w:left w:val="single" w:sz="4" w:space="0" w:color="000000"/>
              <w:bottom w:val="single" w:sz="8" w:space="0" w:color="000000"/>
              <w:right w:val="single" w:sz="3" w:space="0" w:color="000000"/>
            </w:tcBorders>
            <w:shd w:val="clear" w:color="auto" w:fill="1F4E78"/>
          </w:tcPr>
          <w:p w:rsidR="001C682A" w:rsidRDefault="00B03C38">
            <w:pPr>
              <w:spacing w:after="17" w:line="259" w:lineRule="auto"/>
              <w:ind w:left="21" w:firstLine="0"/>
              <w:jc w:val="left"/>
            </w:pPr>
            <w:r>
              <w:rPr>
                <w:b/>
                <w:color w:val="FFFFFF"/>
                <w:sz w:val="11"/>
              </w:rPr>
              <w:t xml:space="preserve">Billions of </w:t>
            </w:r>
          </w:p>
          <w:p w:rsidR="001C682A" w:rsidRDefault="00B03C38">
            <w:pPr>
              <w:tabs>
                <w:tab w:val="right" w:pos="1039"/>
              </w:tabs>
              <w:spacing w:after="0" w:line="259" w:lineRule="auto"/>
              <w:ind w:left="0" w:firstLine="0"/>
              <w:jc w:val="left"/>
            </w:pPr>
            <w:r>
              <w:rPr>
                <w:b/>
                <w:color w:val="FFFFFF"/>
                <w:sz w:val="11"/>
              </w:rPr>
              <w:t>Naira</w:t>
            </w:r>
            <w:r>
              <w:rPr>
                <w:b/>
                <w:color w:val="FFFFFF"/>
                <w:sz w:val="11"/>
              </w:rPr>
              <w:tab/>
              <w:t>%</w:t>
            </w:r>
          </w:p>
        </w:tc>
      </w:tr>
      <w:tr w:rsidR="001C682A">
        <w:trPr>
          <w:trHeight w:val="274"/>
        </w:trPr>
        <w:tc>
          <w:tcPr>
            <w:tcW w:w="270" w:type="dxa"/>
            <w:tcBorders>
              <w:top w:val="single" w:sz="8" w:space="0" w:color="000000"/>
              <w:left w:val="single" w:sz="4" w:space="0" w:color="000000"/>
              <w:bottom w:val="single" w:sz="4" w:space="0" w:color="000000"/>
              <w:right w:val="single" w:sz="4" w:space="0" w:color="000000"/>
            </w:tcBorders>
            <w:shd w:val="clear" w:color="auto" w:fill="D0CECE"/>
          </w:tcPr>
          <w:p w:rsidR="001C682A" w:rsidRDefault="00B03C38">
            <w:pPr>
              <w:spacing w:after="0" w:line="259" w:lineRule="auto"/>
              <w:ind w:left="0" w:firstLine="0"/>
              <w:jc w:val="left"/>
            </w:pPr>
            <w:r>
              <w:rPr>
                <w:b/>
                <w:sz w:val="11"/>
              </w:rPr>
              <w:t>S/N</w:t>
            </w:r>
          </w:p>
        </w:tc>
        <w:tc>
          <w:tcPr>
            <w:tcW w:w="2110" w:type="dxa"/>
            <w:tcBorders>
              <w:top w:val="single" w:sz="8" w:space="0" w:color="000000"/>
              <w:left w:val="single" w:sz="4" w:space="0" w:color="000000"/>
              <w:bottom w:val="single" w:sz="4" w:space="0" w:color="000000"/>
              <w:right w:val="single" w:sz="4" w:space="0" w:color="000000"/>
            </w:tcBorders>
            <w:shd w:val="clear" w:color="auto" w:fill="D0CECE"/>
          </w:tcPr>
          <w:p w:rsidR="001C682A" w:rsidRDefault="00B03C38">
            <w:pPr>
              <w:spacing w:after="3" w:line="259" w:lineRule="auto"/>
              <w:ind w:left="1" w:firstLine="0"/>
              <w:jc w:val="left"/>
            </w:pPr>
            <w:r>
              <w:rPr>
                <w:b/>
                <w:sz w:val="11"/>
              </w:rPr>
              <w:t xml:space="preserve">FEDERAL RETAINED REVENUES (excl. </w:t>
            </w:r>
          </w:p>
          <w:p w:rsidR="001C682A" w:rsidRDefault="00B03C38">
            <w:pPr>
              <w:spacing w:after="0" w:line="259" w:lineRule="auto"/>
              <w:ind w:left="1" w:firstLine="0"/>
              <w:jc w:val="left"/>
            </w:pPr>
            <w:r>
              <w:rPr>
                <w:b/>
                <w:sz w:val="11"/>
              </w:rPr>
              <w:t>GOEs)</w:t>
            </w:r>
          </w:p>
        </w:tc>
        <w:tc>
          <w:tcPr>
            <w:tcW w:w="639" w:type="dxa"/>
            <w:tcBorders>
              <w:top w:val="single" w:sz="8" w:space="0" w:color="000000"/>
              <w:left w:val="single" w:sz="4" w:space="0" w:color="000000"/>
              <w:bottom w:val="single" w:sz="4" w:space="0" w:color="000000"/>
              <w:right w:val="single" w:sz="4" w:space="0" w:color="000000"/>
            </w:tcBorders>
            <w:shd w:val="clear" w:color="auto" w:fill="D0CECE"/>
            <w:vAlign w:val="bottom"/>
          </w:tcPr>
          <w:p w:rsidR="001C682A" w:rsidRDefault="00B03C38">
            <w:pPr>
              <w:spacing w:after="0" w:line="259" w:lineRule="auto"/>
              <w:ind w:left="21" w:firstLine="0"/>
              <w:jc w:val="left"/>
            </w:pPr>
            <w:r>
              <w:rPr>
                <w:b/>
                <w:sz w:val="11"/>
              </w:rPr>
              <w:t xml:space="preserve">     5,365.42 </w:t>
            </w:r>
          </w:p>
        </w:tc>
        <w:tc>
          <w:tcPr>
            <w:tcW w:w="600" w:type="dxa"/>
            <w:tcBorders>
              <w:top w:val="single" w:sz="8" w:space="0" w:color="000000"/>
              <w:left w:val="single" w:sz="4" w:space="0" w:color="000000"/>
              <w:bottom w:val="single" w:sz="4" w:space="0" w:color="000000"/>
              <w:right w:val="single" w:sz="4" w:space="0" w:color="000000"/>
            </w:tcBorders>
            <w:shd w:val="clear" w:color="auto" w:fill="D0CECE"/>
            <w:vAlign w:val="bottom"/>
          </w:tcPr>
          <w:p w:rsidR="001C682A" w:rsidRDefault="00B03C38">
            <w:pPr>
              <w:spacing w:after="0" w:line="259" w:lineRule="auto"/>
              <w:ind w:left="11" w:firstLine="0"/>
            </w:pPr>
            <w:r>
              <w:rPr>
                <w:b/>
                <w:sz w:val="11"/>
              </w:rPr>
              <w:t xml:space="preserve">    2,622.00 </w:t>
            </w:r>
          </w:p>
        </w:tc>
        <w:tc>
          <w:tcPr>
            <w:tcW w:w="600" w:type="dxa"/>
            <w:tcBorders>
              <w:top w:val="single" w:sz="8" w:space="0" w:color="000000"/>
              <w:left w:val="single" w:sz="4" w:space="0" w:color="000000"/>
              <w:bottom w:val="single" w:sz="4" w:space="0" w:color="000000"/>
              <w:right w:val="single" w:sz="4" w:space="0" w:color="000000"/>
            </w:tcBorders>
            <w:shd w:val="clear" w:color="auto" w:fill="D0CECE"/>
            <w:vAlign w:val="bottom"/>
          </w:tcPr>
          <w:p w:rsidR="001C682A" w:rsidRDefault="00B03C38">
            <w:pPr>
              <w:spacing w:after="0" w:line="259" w:lineRule="auto"/>
              <w:ind w:left="11" w:firstLine="0"/>
            </w:pPr>
            <w:r>
              <w:rPr>
                <w:b/>
                <w:sz w:val="11"/>
              </w:rPr>
              <w:t xml:space="preserve">    1,624.65 </w:t>
            </w:r>
          </w:p>
        </w:tc>
        <w:tc>
          <w:tcPr>
            <w:tcW w:w="610" w:type="dxa"/>
            <w:tcBorders>
              <w:top w:val="single" w:sz="8" w:space="0" w:color="000000"/>
              <w:left w:val="single" w:sz="4" w:space="0" w:color="000000"/>
              <w:bottom w:val="single" w:sz="4" w:space="0" w:color="000000"/>
              <w:right w:val="single" w:sz="4" w:space="0" w:color="000000"/>
            </w:tcBorders>
            <w:shd w:val="clear" w:color="auto" w:fill="D0CECE"/>
            <w:vAlign w:val="bottom"/>
          </w:tcPr>
          <w:p w:rsidR="001C682A" w:rsidRDefault="00B03C38">
            <w:pPr>
              <w:spacing w:after="0" w:line="259" w:lineRule="auto"/>
              <w:ind w:left="11" w:firstLine="0"/>
            </w:pPr>
            <w:r>
              <w:rPr>
                <w:b/>
                <w:sz w:val="11"/>
              </w:rPr>
              <w:t xml:space="preserve">     (997.35)</w:t>
            </w:r>
          </w:p>
        </w:tc>
        <w:tc>
          <w:tcPr>
            <w:tcW w:w="465" w:type="dxa"/>
            <w:tcBorders>
              <w:top w:val="single" w:sz="8" w:space="0" w:color="000000"/>
              <w:left w:val="single" w:sz="4" w:space="0" w:color="000000"/>
              <w:bottom w:val="single" w:sz="4" w:space="0" w:color="000000"/>
              <w:right w:val="single" w:sz="3" w:space="0" w:color="000000"/>
            </w:tcBorders>
            <w:shd w:val="clear" w:color="auto" w:fill="D0CECE"/>
            <w:vAlign w:val="bottom"/>
          </w:tcPr>
          <w:p w:rsidR="001C682A" w:rsidRDefault="00B03C38">
            <w:pPr>
              <w:spacing w:after="0" w:line="259" w:lineRule="auto"/>
              <w:ind w:left="0" w:right="4" w:firstLine="0"/>
              <w:jc w:val="right"/>
            </w:pPr>
            <w:r>
              <w:rPr>
                <w:b/>
                <w:sz w:val="11"/>
              </w:rPr>
              <w:t>-38%</w:t>
            </w:r>
          </w:p>
        </w:tc>
      </w:tr>
      <w:tr w:rsidR="001C682A">
        <w:trPr>
          <w:trHeight w:val="134"/>
        </w:trPr>
        <w:tc>
          <w:tcPr>
            <w:tcW w:w="27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2" w:firstLine="0"/>
              <w:jc w:val="right"/>
            </w:pPr>
            <w:r>
              <w:rPr>
                <w:b/>
                <w:sz w:val="11"/>
              </w:rPr>
              <w:t>A</w:t>
            </w:r>
          </w:p>
        </w:tc>
        <w:tc>
          <w:tcPr>
            <w:tcW w:w="2110" w:type="dxa"/>
            <w:tcBorders>
              <w:top w:val="single" w:sz="4"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639" w:type="dxa"/>
            <w:tcBorders>
              <w:top w:val="single" w:sz="4"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600" w:type="dxa"/>
            <w:tcBorders>
              <w:top w:val="single" w:sz="4"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610" w:type="dxa"/>
            <w:tcBorders>
              <w:top w:val="single" w:sz="4"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465" w:type="dxa"/>
            <w:tcBorders>
              <w:top w:val="single" w:sz="4" w:space="0" w:color="000000"/>
              <w:left w:val="single" w:sz="4" w:space="0" w:color="000000"/>
              <w:bottom w:val="single" w:sz="4" w:space="0" w:color="000000"/>
              <w:right w:val="single" w:sz="3" w:space="0" w:color="000000"/>
            </w:tcBorders>
          </w:tcPr>
          <w:p w:rsidR="001C682A" w:rsidRDefault="001C682A">
            <w:pPr>
              <w:spacing w:after="160" w:line="259" w:lineRule="auto"/>
              <w:ind w:left="0" w:firstLine="0"/>
              <w:jc w:val="left"/>
            </w:pPr>
          </w:p>
        </w:tc>
      </w:tr>
      <w:tr w:rsidR="001C682A">
        <w:trPr>
          <w:trHeight w:val="145"/>
        </w:trPr>
        <w:tc>
          <w:tcPr>
            <w:tcW w:w="27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0" w:firstLine="0"/>
              <w:jc w:val="right"/>
            </w:pPr>
            <w:r>
              <w:rPr>
                <w:sz w:val="11"/>
              </w:rPr>
              <w:t>1</w:t>
            </w:r>
          </w:p>
        </w:tc>
        <w:tc>
          <w:tcPr>
            <w:tcW w:w="21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88" w:firstLine="0"/>
              <w:jc w:val="left"/>
            </w:pPr>
            <w:r>
              <w:rPr>
                <w:sz w:val="11"/>
              </w:rPr>
              <w:t>Oil Revenue</w:t>
            </w:r>
          </w:p>
        </w:tc>
        <w:tc>
          <w:tcPr>
            <w:tcW w:w="639"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1"/>
              </w:rPr>
              <w:t xml:space="preserve">     1,013.77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1"/>
              </w:rPr>
              <w:t xml:space="preserve">       422.40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1"/>
              </w:rPr>
              <w:t xml:space="preserve">       844.97 </w:t>
            </w:r>
          </w:p>
        </w:tc>
        <w:tc>
          <w:tcPr>
            <w:tcW w:w="6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1"/>
              </w:rPr>
              <w:t xml:space="preserve">       422.56 </w:t>
            </w:r>
          </w:p>
        </w:tc>
        <w:tc>
          <w:tcPr>
            <w:tcW w:w="465"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0" w:right="4" w:firstLine="0"/>
              <w:jc w:val="right"/>
            </w:pPr>
            <w:r>
              <w:rPr>
                <w:sz w:val="11"/>
              </w:rPr>
              <w:t>100%</w:t>
            </w:r>
          </w:p>
        </w:tc>
      </w:tr>
      <w:tr w:rsidR="001C682A">
        <w:trPr>
          <w:trHeight w:val="145"/>
        </w:trPr>
        <w:tc>
          <w:tcPr>
            <w:tcW w:w="27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0" w:firstLine="0"/>
              <w:jc w:val="right"/>
            </w:pPr>
            <w:r>
              <w:rPr>
                <w:sz w:val="11"/>
              </w:rPr>
              <w:t>2</w:t>
            </w:r>
          </w:p>
        </w:tc>
        <w:tc>
          <w:tcPr>
            <w:tcW w:w="21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88" w:firstLine="0"/>
              <w:jc w:val="left"/>
            </w:pPr>
            <w:r>
              <w:rPr>
                <w:sz w:val="11"/>
              </w:rPr>
              <w:t>Share of Dividend (NLNG)</w:t>
            </w:r>
          </w:p>
        </w:tc>
        <w:tc>
          <w:tcPr>
            <w:tcW w:w="639"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1"/>
              </w:rPr>
              <w:t xml:space="preserve">          80.38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1"/>
              </w:rPr>
              <w:t xml:space="preserve">         33.49 </w:t>
            </w:r>
          </w:p>
        </w:tc>
        <w:tc>
          <w:tcPr>
            <w:tcW w:w="600" w:type="dxa"/>
            <w:tcBorders>
              <w:top w:val="single" w:sz="4"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6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rPr>
                <w:sz w:val="11"/>
              </w:rPr>
              <w:t xml:space="preserve">       (33.49)</w:t>
            </w:r>
          </w:p>
        </w:tc>
        <w:tc>
          <w:tcPr>
            <w:tcW w:w="465"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0" w:right="4" w:firstLine="0"/>
              <w:jc w:val="right"/>
            </w:pPr>
            <w:r>
              <w:rPr>
                <w:sz w:val="11"/>
              </w:rPr>
              <w:t>-100%</w:t>
            </w:r>
          </w:p>
        </w:tc>
      </w:tr>
      <w:tr w:rsidR="001C682A">
        <w:trPr>
          <w:trHeight w:val="145"/>
        </w:trPr>
        <w:tc>
          <w:tcPr>
            <w:tcW w:w="27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0" w:firstLine="0"/>
              <w:jc w:val="right"/>
            </w:pPr>
            <w:r>
              <w:rPr>
                <w:sz w:val="11"/>
              </w:rPr>
              <w:t>3</w:t>
            </w:r>
          </w:p>
        </w:tc>
        <w:tc>
          <w:tcPr>
            <w:tcW w:w="21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88" w:firstLine="0"/>
              <w:jc w:val="left"/>
            </w:pPr>
            <w:r>
              <w:rPr>
                <w:sz w:val="11"/>
              </w:rPr>
              <w:t>Minerals &amp; Mining Revenue</w:t>
            </w:r>
          </w:p>
        </w:tc>
        <w:tc>
          <w:tcPr>
            <w:tcW w:w="639"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1"/>
              </w:rPr>
              <w:t xml:space="preserve">            1.90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1"/>
              </w:rPr>
              <w:t xml:space="preserve">           0.79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1"/>
              </w:rPr>
              <w:t xml:space="preserve">           0.85 </w:t>
            </w:r>
          </w:p>
        </w:tc>
        <w:tc>
          <w:tcPr>
            <w:tcW w:w="6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1"/>
              </w:rPr>
              <w:t xml:space="preserve">           0.06 </w:t>
            </w:r>
          </w:p>
        </w:tc>
        <w:tc>
          <w:tcPr>
            <w:tcW w:w="465"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0" w:right="4" w:firstLine="0"/>
              <w:jc w:val="right"/>
            </w:pPr>
            <w:r>
              <w:rPr>
                <w:sz w:val="11"/>
              </w:rPr>
              <w:t>7%</w:t>
            </w:r>
          </w:p>
        </w:tc>
      </w:tr>
      <w:tr w:rsidR="001C682A">
        <w:trPr>
          <w:trHeight w:val="145"/>
        </w:trPr>
        <w:tc>
          <w:tcPr>
            <w:tcW w:w="27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0" w:firstLine="0"/>
              <w:jc w:val="right"/>
            </w:pPr>
            <w:r>
              <w:rPr>
                <w:sz w:val="11"/>
              </w:rPr>
              <w:t>4</w:t>
            </w:r>
          </w:p>
        </w:tc>
        <w:tc>
          <w:tcPr>
            <w:tcW w:w="21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88" w:firstLine="0"/>
              <w:jc w:val="left"/>
            </w:pPr>
            <w:r>
              <w:rPr>
                <w:sz w:val="11"/>
              </w:rPr>
              <w:t>Non-Oil Revenue:</w:t>
            </w:r>
          </w:p>
        </w:tc>
        <w:tc>
          <w:tcPr>
            <w:tcW w:w="639"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b/>
                <w:sz w:val="11"/>
              </w:rPr>
              <w:t xml:space="preserve">     1,624.93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b/>
                <w:sz w:val="11"/>
              </w:rPr>
              <w:t xml:space="preserve">       677.06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b/>
                <w:sz w:val="11"/>
              </w:rPr>
              <w:t xml:space="preserve">       439.32 </w:t>
            </w:r>
          </w:p>
        </w:tc>
        <w:tc>
          <w:tcPr>
            <w:tcW w:w="6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rPr>
                <w:b/>
                <w:sz w:val="11"/>
              </w:rPr>
              <w:t xml:space="preserve">     (237.73)</w:t>
            </w:r>
          </w:p>
        </w:tc>
        <w:tc>
          <w:tcPr>
            <w:tcW w:w="465"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0" w:right="4" w:firstLine="0"/>
              <w:jc w:val="right"/>
            </w:pPr>
            <w:r>
              <w:rPr>
                <w:b/>
                <w:sz w:val="11"/>
              </w:rPr>
              <w:t>-35%</w:t>
            </w:r>
          </w:p>
        </w:tc>
      </w:tr>
      <w:tr w:rsidR="001C682A">
        <w:trPr>
          <w:trHeight w:val="145"/>
        </w:trPr>
        <w:tc>
          <w:tcPr>
            <w:tcW w:w="27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7" w:firstLine="0"/>
              <w:jc w:val="right"/>
            </w:pPr>
            <w:proofErr w:type="spellStart"/>
            <w:r>
              <w:rPr>
                <w:sz w:val="11"/>
              </w:rPr>
              <w:t>i</w:t>
            </w:r>
            <w:proofErr w:type="spellEnd"/>
          </w:p>
        </w:tc>
        <w:tc>
          <w:tcPr>
            <w:tcW w:w="21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76" w:firstLine="0"/>
              <w:jc w:val="left"/>
            </w:pPr>
            <w:r>
              <w:rPr>
                <w:sz w:val="11"/>
              </w:rPr>
              <w:t>CIT</w:t>
            </w:r>
          </w:p>
        </w:tc>
        <w:tc>
          <w:tcPr>
            <w:tcW w:w="639"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1"/>
              </w:rPr>
              <w:t xml:space="preserve">        821.67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1"/>
              </w:rPr>
              <w:t xml:space="preserve">       342.36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1"/>
              </w:rPr>
              <w:t xml:space="preserve">       213.24 </w:t>
            </w:r>
          </w:p>
        </w:tc>
        <w:tc>
          <w:tcPr>
            <w:tcW w:w="6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rPr>
                <w:sz w:val="11"/>
              </w:rPr>
              <w:t xml:space="preserve">     (129.12)</w:t>
            </w:r>
          </w:p>
        </w:tc>
        <w:tc>
          <w:tcPr>
            <w:tcW w:w="465"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0" w:right="4" w:firstLine="0"/>
              <w:jc w:val="right"/>
            </w:pPr>
            <w:r>
              <w:rPr>
                <w:sz w:val="11"/>
              </w:rPr>
              <w:t>-38%</w:t>
            </w:r>
          </w:p>
        </w:tc>
      </w:tr>
      <w:tr w:rsidR="001C682A">
        <w:trPr>
          <w:trHeight w:val="145"/>
        </w:trPr>
        <w:tc>
          <w:tcPr>
            <w:tcW w:w="27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7" w:firstLine="0"/>
              <w:jc w:val="right"/>
            </w:pPr>
            <w:r>
              <w:rPr>
                <w:sz w:val="11"/>
              </w:rPr>
              <w:t>ii</w:t>
            </w:r>
          </w:p>
        </w:tc>
        <w:tc>
          <w:tcPr>
            <w:tcW w:w="21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76" w:firstLine="0"/>
              <w:jc w:val="left"/>
            </w:pPr>
            <w:r>
              <w:rPr>
                <w:sz w:val="11"/>
              </w:rPr>
              <w:t>VAT</w:t>
            </w:r>
          </w:p>
        </w:tc>
        <w:tc>
          <w:tcPr>
            <w:tcW w:w="639"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1"/>
              </w:rPr>
              <w:t xml:space="preserve">        284.11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1"/>
              </w:rPr>
              <w:t xml:space="preserve">       118.38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1"/>
              </w:rPr>
              <w:t xml:space="preserve">         68.09 </w:t>
            </w:r>
          </w:p>
        </w:tc>
        <w:tc>
          <w:tcPr>
            <w:tcW w:w="6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rPr>
                <w:sz w:val="11"/>
              </w:rPr>
              <w:t xml:space="preserve">       (50.29)</w:t>
            </w:r>
          </w:p>
        </w:tc>
        <w:tc>
          <w:tcPr>
            <w:tcW w:w="465"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0" w:right="4" w:firstLine="0"/>
              <w:jc w:val="right"/>
            </w:pPr>
            <w:r>
              <w:rPr>
                <w:sz w:val="11"/>
              </w:rPr>
              <w:t>-42%</w:t>
            </w:r>
          </w:p>
        </w:tc>
      </w:tr>
      <w:tr w:rsidR="001C682A">
        <w:trPr>
          <w:trHeight w:val="145"/>
        </w:trPr>
        <w:tc>
          <w:tcPr>
            <w:tcW w:w="27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6" w:firstLine="0"/>
              <w:jc w:val="right"/>
            </w:pPr>
            <w:r>
              <w:rPr>
                <w:sz w:val="11"/>
              </w:rPr>
              <w:t>iv</w:t>
            </w:r>
          </w:p>
        </w:tc>
        <w:tc>
          <w:tcPr>
            <w:tcW w:w="21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76" w:firstLine="0"/>
              <w:jc w:val="left"/>
            </w:pPr>
            <w:r>
              <w:rPr>
                <w:sz w:val="11"/>
              </w:rPr>
              <w:t>Customs Revenues</w:t>
            </w:r>
          </w:p>
        </w:tc>
        <w:tc>
          <w:tcPr>
            <w:tcW w:w="639"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1"/>
              </w:rPr>
              <w:t xml:space="preserve">        450.70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1"/>
              </w:rPr>
              <w:t xml:space="preserve">       187.79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1"/>
              </w:rPr>
              <w:t xml:space="preserve">       149.28 </w:t>
            </w:r>
          </w:p>
        </w:tc>
        <w:tc>
          <w:tcPr>
            <w:tcW w:w="6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rPr>
                <w:sz w:val="11"/>
              </w:rPr>
              <w:t xml:space="preserve">       (38.52)</w:t>
            </w:r>
          </w:p>
        </w:tc>
        <w:tc>
          <w:tcPr>
            <w:tcW w:w="465"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0" w:right="4" w:firstLine="0"/>
              <w:jc w:val="right"/>
            </w:pPr>
            <w:r>
              <w:rPr>
                <w:sz w:val="11"/>
              </w:rPr>
              <w:t>-21%</w:t>
            </w:r>
          </w:p>
        </w:tc>
      </w:tr>
      <w:tr w:rsidR="001C682A">
        <w:trPr>
          <w:trHeight w:val="145"/>
        </w:trPr>
        <w:tc>
          <w:tcPr>
            <w:tcW w:w="27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6" w:firstLine="0"/>
              <w:jc w:val="right"/>
            </w:pPr>
            <w:r>
              <w:rPr>
                <w:sz w:val="11"/>
              </w:rPr>
              <w:t>v</w:t>
            </w:r>
          </w:p>
        </w:tc>
        <w:tc>
          <w:tcPr>
            <w:tcW w:w="21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76" w:firstLine="0"/>
              <w:jc w:val="left"/>
            </w:pPr>
            <w:r>
              <w:rPr>
                <w:sz w:val="11"/>
              </w:rPr>
              <w:t>Federation Account Levies</w:t>
            </w:r>
          </w:p>
        </w:tc>
        <w:tc>
          <w:tcPr>
            <w:tcW w:w="639"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1"/>
              </w:rPr>
              <w:t xml:space="preserve">          68.46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1"/>
              </w:rPr>
              <w:t xml:space="preserve">         28.52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1"/>
              </w:rPr>
              <w:t xml:space="preserve">           8.72 </w:t>
            </w:r>
          </w:p>
        </w:tc>
        <w:tc>
          <w:tcPr>
            <w:tcW w:w="6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rPr>
                <w:sz w:val="11"/>
              </w:rPr>
              <w:t xml:space="preserve">       (19.80)</w:t>
            </w:r>
          </w:p>
        </w:tc>
        <w:tc>
          <w:tcPr>
            <w:tcW w:w="465"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0" w:right="4" w:firstLine="0"/>
              <w:jc w:val="right"/>
            </w:pPr>
            <w:r>
              <w:rPr>
                <w:sz w:val="11"/>
              </w:rPr>
              <w:t>-69%</w:t>
            </w:r>
          </w:p>
        </w:tc>
      </w:tr>
      <w:tr w:rsidR="001C682A">
        <w:trPr>
          <w:trHeight w:val="135"/>
        </w:trPr>
        <w:tc>
          <w:tcPr>
            <w:tcW w:w="27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2" w:firstLine="0"/>
              <w:jc w:val="right"/>
            </w:pPr>
            <w:r>
              <w:rPr>
                <w:b/>
                <w:sz w:val="11"/>
              </w:rPr>
              <w:t>B</w:t>
            </w:r>
          </w:p>
        </w:tc>
        <w:tc>
          <w:tcPr>
            <w:tcW w:w="2110" w:type="dxa"/>
            <w:tcBorders>
              <w:top w:val="single" w:sz="4"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639"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b/>
                <w:sz w:val="11"/>
              </w:rPr>
              <w:t xml:space="preserve">     2,644.45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b/>
                <w:sz w:val="11"/>
              </w:rPr>
              <w:t xml:space="preserve">    1,101.85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b/>
                <w:sz w:val="11"/>
              </w:rPr>
              <w:t xml:space="preserve">       339.51 </w:t>
            </w:r>
          </w:p>
        </w:tc>
        <w:tc>
          <w:tcPr>
            <w:tcW w:w="6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rPr>
                <w:b/>
                <w:sz w:val="11"/>
              </w:rPr>
              <w:t xml:space="preserve">     (762.34)</w:t>
            </w:r>
          </w:p>
        </w:tc>
        <w:tc>
          <w:tcPr>
            <w:tcW w:w="465"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0" w:right="4" w:firstLine="0"/>
              <w:jc w:val="right"/>
            </w:pPr>
            <w:r>
              <w:rPr>
                <w:b/>
                <w:sz w:val="11"/>
              </w:rPr>
              <w:t>-69%</w:t>
            </w:r>
          </w:p>
        </w:tc>
      </w:tr>
      <w:tr w:rsidR="001C682A">
        <w:trPr>
          <w:trHeight w:val="145"/>
        </w:trPr>
        <w:tc>
          <w:tcPr>
            <w:tcW w:w="27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0" w:firstLine="0"/>
              <w:jc w:val="right"/>
            </w:pPr>
            <w:r>
              <w:rPr>
                <w:sz w:val="11"/>
              </w:rPr>
              <w:t>1</w:t>
            </w:r>
          </w:p>
        </w:tc>
        <w:tc>
          <w:tcPr>
            <w:tcW w:w="21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88" w:firstLine="0"/>
              <w:jc w:val="left"/>
            </w:pPr>
            <w:r>
              <w:rPr>
                <w:sz w:val="11"/>
              </w:rPr>
              <w:t>FGN Independent Revenue</w:t>
            </w:r>
          </w:p>
        </w:tc>
        <w:tc>
          <w:tcPr>
            <w:tcW w:w="639"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1"/>
              </w:rPr>
              <w:t xml:space="preserve">        932.84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1"/>
              </w:rPr>
              <w:t xml:space="preserve">       388.68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1"/>
              </w:rPr>
              <w:t xml:space="preserve">         80.22 </w:t>
            </w:r>
          </w:p>
        </w:tc>
        <w:tc>
          <w:tcPr>
            <w:tcW w:w="6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rPr>
                <w:sz w:val="11"/>
              </w:rPr>
              <w:t xml:space="preserve">     (308.47)</w:t>
            </w:r>
          </w:p>
        </w:tc>
        <w:tc>
          <w:tcPr>
            <w:tcW w:w="465"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0" w:right="4" w:firstLine="0"/>
              <w:jc w:val="right"/>
            </w:pPr>
            <w:r>
              <w:rPr>
                <w:sz w:val="11"/>
              </w:rPr>
              <w:t>-79%</w:t>
            </w:r>
          </w:p>
        </w:tc>
      </w:tr>
      <w:tr w:rsidR="001C682A">
        <w:trPr>
          <w:trHeight w:val="290"/>
        </w:trPr>
        <w:tc>
          <w:tcPr>
            <w:tcW w:w="27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0" w:firstLine="0"/>
              <w:jc w:val="right"/>
            </w:pPr>
            <w:r>
              <w:rPr>
                <w:sz w:val="11"/>
              </w:rPr>
              <w:t>2</w:t>
            </w:r>
          </w:p>
        </w:tc>
        <w:tc>
          <w:tcPr>
            <w:tcW w:w="21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88" w:firstLine="0"/>
              <w:jc w:val="left"/>
            </w:pPr>
            <w:r>
              <w:rPr>
                <w:sz w:val="11"/>
              </w:rPr>
              <w:t>FGN Drawdowns from Special Accounts/Levies</w:t>
            </w:r>
          </w:p>
        </w:tc>
        <w:tc>
          <w:tcPr>
            <w:tcW w:w="639"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1"/>
              </w:rPr>
              <w:t xml:space="preserve">        645.00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1"/>
              </w:rPr>
              <w:t xml:space="preserve">       268.75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1"/>
              </w:rPr>
              <w:t xml:space="preserve">       189.31 </w:t>
            </w:r>
          </w:p>
        </w:tc>
        <w:tc>
          <w:tcPr>
            <w:tcW w:w="6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rPr>
                <w:sz w:val="11"/>
              </w:rPr>
              <w:t xml:space="preserve">       (79.45)</w:t>
            </w:r>
          </w:p>
        </w:tc>
        <w:tc>
          <w:tcPr>
            <w:tcW w:w="465"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0" w:right="4" w:firstLine="0"/>
              <w:jc w:val="right"/>
            </w:pPr>
            <w:r>
              <w:rPr>
                <w:sz w:val="11"/>
              </w:rPr>
              <w:t>-30%</w:t>
            </w:r>
          </w:p>
        </w:tc>
      </w:tr>
      <w:tr w:rsidR="001C682A">
        <w:trPr>
          <w:trHeight w:val="290"/>
        </w:trPr>
        <w:tc>
          <w:tcPr>
            <w:tcW w:w="27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0" w:firstLine="0"/>
              <w:jc w:val="right"/>
            </w:pPr>
            <w:r>
              <w:rPr>
                <w:sz w:val="11"/>
              </w:rPr>
              <w:t>3</w:t>
            </w:r>
          </w:p>
        </w:tc>
        <w:tc>
          <w:tcPr>
            <w:tcW w:w="2110" w:type="dxa"/>
            <w:tcBorders>
              <w:top w:val="single" w:sz="4" w:space="0" w:color="000000"/>
              <w:left w:val="single" w:sz="4" w:space="0" w:color="000000"/>
              <w:bottom w:val="single" w:sz="4" w:space="0" w:color="000000"/>
              <w:right w:val="single" w:sz="4" w:space="0" w:color="000000"/>
            </w:tcBorders>
          </w:tcPr>
          <w:p w:rsidR="001C682A" w:rsidRDefault="00B03C38">
            <w:pPr>
              <w:spacing w:after="4" w:line="259" w:lineRule="auto"/>
              <w:ind w:left="88" w:firstLine="0"/>
              <w:jc w:val="left"/>
            </w:pPr>
            <w:r>
              <w:rPr>
                <w:sz w:val="11"/>
              </w:rPr>
              <w:t xml:space="preserve">Signature Bonus / Renewals / Early </w:t>
            </w:r>
          </w:p>
          <w:p w:rsidR="001C682A" w:rsidRDefault="00B03C38">
            <w:pPr>
              <w:spacing w:after="0" w:line="259" w:lineRule="auto"/>
              <w:ind w:left="88" w:firstLine="0"/>
              <w:jc w:val="left"/>
            </w:pPr>
            <w:r>
              <w:rPr>
                <w:sz w:val="11"/>
              </w:rPr>
              <w:t>Renewals</w:t>
            </w:r>
          </w:p>
        </w:tc>
        <w:tc>
          <w:tcPr>
            <w:tcW w:w="639"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1"/>
              </w:rPr>
              <w:t xml:space="preserve">        350.52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1"/>
              </w:rPr>
              <w:t xml:space="preserve">       146.05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1"/>
              </w:rPr>
              <w:t xml:space="preserve">         69.99 </w:t>
            </w:r>
          </w:p>
        </w:tc>
        <w:tc>
          <w:tcPr>
            <w:tcW w:w="6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rPr>
                <w:sz w:val="11"/>
              </w:rPr>
              <w:t xml:space="preserve">       (76.06)</w:t>
            </w:r>
          </w:p>
        </w:tc>
        <w:tc>
          <w:tcPr>
            <w:tcW w:w="465"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0" w:right="4" w:firstLine="0"/>
              <w:jc w:val="right"/>
            </w:pPr>
            <w:r>
              <w:rPr>
                <w:sz w:val="11"/>
              </w:rPr>
              <w:t>-52%</w:t>
            </w:r>
          </w:p>
        </w:tc>
      </w:tr>
      <w:tr w:rsidR="001C682A">
        <w:trPr>
          <w:trHeight w:val="145"/>
        </w:trPr>
        <w:tc>
          <w:tcPr>
            <w:tcW w:w="27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0" w:firstLine="0"/>
              <w:jc w:val="right"/>
            </w:pPr>
            <w:r>
              <w:rPr>
                <w:sz w:val="11"/>
              </w:rPr>
              <w:t>4</w:t>
            </w:r>
          </w:p>
        </w:tc>
        <w:tc>
          <w:tcPr>
            <w:tcW w:w="21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88" w:firstLine="0"/>
              <w:jc w:val="left"/>
            </w:pPr>
            <w:r>
              <w:rPr>
                <w:sz w:val="11"/>
              </w:rPr>
              <w:t>Domestic Recoveries + Assets + Fines</w:t>
            </w:r>
          </w:p>
        </w:tc>
        <w:tc>
          <w:tcPr>
            <w:tcW w:w="639"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1"/>
              </w:rPr>
              <w:t xml:space="preserve">        237.01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1"/>
              </w:rPr>
              <w:t xml:space="preserve">         98.76 </w:t>
            </w:r>
          </w:p>
        </w:tc>
        <w:tc>
          <w:tcPr>
            <w:tcW w:w="600" w:type="dxa"/>
            <w:tcBorders>
              <w:top w:val="single" w:sz="4"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6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rPr>
                <w:sz w:val="11"/>
              </w:rPr>
              <w:t xml:space="preserve">       (98.76)</w:t>
            </w:r>
          </w:p>
        </w:tc>
        <w:tc>
          <w:tcPr>
            <w:tcW w:w="465"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0" w:right="4" w:firstLine="0"/>
              <w:jc w:val="right"/>
            </w:pPr>
            <w:r>
              <w:rPr>
                <w:sz w:val="11"/>
              </w:rPr>
              <w:t>-100%</w:t>
            </w:r>
          </w:p>
        </w:tc>
      </w:tr>
      <w:tr w:rsidR="001C682A">
        <w:trPr>
          <w:trHeight w:val="145"/>
        </w:trPr>
        <w:tc>
          <w:tcPr>
            <w:tcW w:w="27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0" w:firstLine="0"/>
              <w:jc w:val="right"/>
            </w:pPr>
            <w:r>
              <w:rPr>
                <w:sz w:val="11"/>
              </w:rPr>
              <w:t>5</w:t>
            </w:r>
          </w:p>
        </w:tc>
        <w:tc>
          <w:tcPr>
            <w:tcW w:w="21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88" w:firstLine="0"/>
              <w:jc w:val="left"/>
            </w:pPr>
            <w:r>
              <w:rPr>
                <w:sz w:val="11"/>
              </w:rPr>
              <w:t>Stamp Duty</w:t>
            </w:r>
          </w:p>
        </w:tc>
        <w:tc>
          <w:tcPr>
            <w:tcW w:w="639"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1"/>
              </w:rPr>
              <w:t xml:space="preserve">        200.00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1"/>
              </w:rPr>
              <w:t xml:space="preserve">         83.33 </w:t>
            </w:r>
          </w:p>
        </w:tc>
        <w:tc>
          <w:tcPr>
            <w:tcW w:w="600" w:type="dxa"/>
            <w:tcBorders>
              <w:top w:val="single" w:sz="4"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6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rPr>
                <w:sz w:val="11"/>
              </w:rPr>
              <w:t xml:space="preserve">       (83.33)</w:t>
            </w:r>
          </w:p>
        </w:tc>
        <w:tc>
          <w:tcPr>
            <w:tcW w:w="465"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0" w:right="4" w:firstLine="0"/>
              <w:jc w:val="right"/>
            </w:pPr>
            <w:r>
              <w:rPr>
                <w:sz w:val="11"/>
              </w:rPr>
              <w:t>-100%</w:t>
            </w:r>
          </w:p>
        </w:tc>
      </w:tr>
      <w:tr w:rsidR="001C682A">
        <w:trPr>
          <w:trHeight w:val="145"/>
        </w:trPr>
        <w:tc>
          <w:tcPr>
            <w:tcW w:w="27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0" w:firstLine="0"/>
              <w:jc w:val="right"/>
            </w:pPr>
            <w:r>
              <w:rPr>
                <w:sz w:val="11"/>
              </w:rPr>
              <w:t>6</w:t>
            </w:r>
          </w:p>
        </w:tc>
        <w:tc>
          <w:tcPr>
            <w:tcW w:w="21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88" w:firstLine="0"/>
              <w:jc w:val="left"/>
            </w:pPr>
            <w:r>
              <w:rPr>
                <w:sz w:val="11"/>
              </w:rPr>
              <w:t>Grants and Donor Funding</w:t>
            </w:r>
          </w:p>
        </w:tc>
        <w:tc>
          <w:tcPr>
            <w:tcW w:w="639"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1"/>
              </w:rPr>
              <w:t xml:space="preserve">          42.70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1"/>
              </w:rPr>
              <w:t xml:space="preserve">         17.79 </w:t>
            </w:r>
          </w:p>
        </w:tc>
        <w:tc>
          <w:tcPr>
            <w:tcW w:w="600" w:type="dxa"/>
            <w:tcBorders>
              <w:top w:val="single" w:sz="4"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6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rPr>
                <w:sz w:val="11"/>
              </w:rPr>
              <w:t xml:space="preserve">       (17.79)</w:t>
            </w:r>
          </w:p>
        </w:tc>
        <w:tc>
          <w:tcPr>
            <w:tcW w:w="465"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0" w:right="4" w:firstLine="0"/>
              <w:jc w:val="right"/>
            </w:pPr>
            <w:r>
              <w:rPr>
                <w:sz w:val="11"/>
              </w:rPr>
              <w:t>-100%</w:t>
            </w:r>
          </w:p>
        </w:tc>
      </w:tr>
      <w:tr w:rsidR="001C682A">
        <w:trPr>
          <w:trHeight w:val="290"/>
        </w:trPr>
        <w:tc>
          <w:tcPr>
            <w:tcW w:w="27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0" w:firstLine="0"/>
              <w:jc w:val="right"/>
            </w:pPr>
            <w:r>
              <w:rPr>
                <w:sz w:val="11"/>
              </w:rPr>
              <w:t>7</w:t>
            </w:r>
          </w:p>
        </w:tc>
        <w:tc>
          <w:tcPr>
            <w:tcW w:w="21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88" w:firstLine="0"/>
              <w:jc w:val="left"/>
            </w:pPr>
            <w:r>
              <w:rPr>
                <w:sz w:val="11"/>
              </w:rPr>
              <w:t>Grants and Donations for COVID-19 Crisis Intervention Fund</w:t>
            </w:r>
          </w:p>
        </w:tc>
        <w:tc>
          <w:tcPr>
            <w:tcW w:w="639"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 w:firstLine="0"/>
            </w:pPr>
            <w:r>
              <w:rPr>
                <w:sz w:val="11"/>
              </w:rPr>
              <w:t xml:space="preserve">        186.37 </w:t>
            </w:r>
          </w:p>
        </w:tc>
        <w:tc>
          <w:tcPr>
            <w:tcW w:w="60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1"/>
              </w:rPr>
              <w:t xml:space="preserve">         77.65 </w:t>
            </w:r>
          </w:p>
        </w:tc>
        <w:tc>
          <w:tcPr>
            <w:tcW w:w="600" w:type="dxa"/>
            <w:tcBorders>
              <w:top w:val="single" w:sz="4"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610"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jc w:val="left"/>
            </w:pPr>
            <w:r>
              <w:rPr>
                <w:sz w:val="11"/>
              </w:rPr>
              <w:t xml:space="preserve">       (77.65)</w:t>
            </w:r>
          </w:p>
        </w:tc>
        <w:tc>
          <w:tcPr>
            <w:tcW w:w="465"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0" w:right="4" w:firstLine="0"/>
              <w:jc w:val="right"/>
            </w:pPr>
            <w:r>
              <w:rPr>
                <w:sz w:val="11"/>
              </w:rPr>
              <w:t>-100%</w:t>
            </w:r>
          </w:p>
        </w:tc>
      </w:tr>
      <w:tr w:rsidR="001C682A">
        <w:trPr>
          <w:trHeight w:val="150"/>
        </w:trPr>
        <w:tc>
          <w:tcPr>
            <w:tcW w:w="270" w:type="dxa"/>
            <w:tcBorders>
              <w:top w:val="single" w:sz="4" w:space="0" w:color="000000"/>
              <w:left w:val="single" w:sz="4" w:space="0" w:color="000000"/>
              <w:bottom w:val="single" w:sz="8" w:space="0" w:color="000000"/>
              <w:right w:val="single" w:sz="4" w:space="0" w:color="000000"/>
            </w:tcBorders>
          </w:tcPr>
          <w:p w:rsidR="001C682A" w:rsidRDefault="00B03C38">
            <w:pPr>
              <w:spacing w:after="0" w:line="259" w:lineRule="auto"/>
              <w:ind w:left="0" w:right="10" w:firstLine="0"/>
              <w:jc w:val="right"/>
            </w:pPr>
            <w:r>
              <w:rPr>
                <w:sz w:val="11"/>
              </w:rPr>
              <w:t>8</w:t>
            </w:r>
          </w:p>
        </w:tc>
        <w:tc>
          <w:tcPr>
            <w:tcW w:w="2110" w:type="dxa"/>
            <w:tcBorders>
              <w:top w:val="single" w:sz="4" w:space="0" w:color="000000"/>
              <w:left w:val="single" w:sz="4" w:space="0" w:color="000000"/>
              <w:bottom w:val="single" w:sz="8" w:space="0" w:color="000000"/>
              <w:right w:val="single" w:sz="4" w:space="0" w:color="000000"/>
            </w:tcBorders>
          </w:tcPr>
          <w:p w:rsidR="001C682A" w:rsidRDefault="00B03C38">
            <w:pPr>
              <w:spacing w:after="0" w:line="259" w:lineRule="auto"/>
              <w:ind w:left="88" w:firstLine="0"/>
              <w:jc w:val="left"/>
            </w:pPr>
            <w:r>
              <w:rPr>
                <w:sz w:val="11"/>
              </w:rPr>
              <w:t>Grants and Donor Funding</w:t>
            </w:r>
          </w:p>
        </w:tc>
        <w:tc>
          <w:tcPr>
            <w:tcW w:w="639" w:type="dxa"/>
            <w:tcBorders>
              <w:top w:val="single" w:sz="4" w:space="0" w:color="000000"/>
              <w:left w:val="single" w:sz="4" w:space="0" w:color="000000"/>
              <w:bottom w:val="single" w:sz="8" w:space="0" w:color="000000"/>
              <w:right w:val="single" w:sz="4" w:space="0" w:color="000000"/>
            </w:tcBorders>
          </w:tcPr>
          <w:p w:rsidR="001C682A" w:rsidRDefault="00B03C38">
            <w:pPr>
              <w:spacing w:after="0" w:line="259" w:lineRule="auto"/>
              <w:ind w:left="2" w:firstLine="0"/>
            </w:pPr>
            <w:r>
              <w:rPr>
                <w:sz w:val="11"/>
              </w:rPr>
              <w:t xml:space="preserve">          50.00 </w:t>
            </w:r>
          </w:p>
        </w:tc>
        <w:tc>
          <w:tcPr>
            <w:tcW w:w="600" w:type="dxa"/>
            <w:tcBorders>
              <w:top w:val="single" w:sz="4" w:space="0" w:color="000000"/>
              <w:left w:val="single" w:sz="4" w:space="0" w:color="000000"/>
              <w:bottom w:val="single" w:sz="8" w:space="0" w:color="000000"/>
              <w:right w:val="single" w:sz="4" w:space="0" w:color="000000"/>
            </w:tcBorders>
          </w:tcPr>
          <w:p w:rsidR="001C682A" w:rsidRDefault="00B03C38">
            <w:pPr>
              <w:spacing w:after="0" w:line="259" w:lineRule="auto"/>
              <w:ind w:left="1" w:firstLine="0"/>
            </w:pPr>
            <w:r>
              <w:rPr>
                <w:sz w:val="11"/>
              </w:rPr>
              <w:t xml:space="preserve">         20.83 </w:t>
            </w:r>
          </w:p>
        </w:tc>
        <w:tc>
          <w:tcPr>
            <w:tcW w:w="600" w:type="dxa"/>
            <w:tcBorders>
              <w:top w:val="single" w:sz="4" w:space="0" w:color="000000"/>
              <w:left w:val="single" w:sz="4" w:space="0" w:color="000000"/>
              <w:bottom w:val="single" w:sz="8" w:space="0" w:color="000000"/>
              <w:right w:val="single" w:sz="4" w:space="0" w:color="000000"/>
            </w:tcBorders>
          </w:tcPr>
          <w:p w:rsidR="001C682A" w:rsidRDefault="001C682A">
            <w:pPr>
              <w:spacing w:after="160" w:line="259" w:lineRule="auto"/>
              <w:ind w:left="0" w:firstLine="0"/>
              <w:jc w:val="left"/>
            </w:pPr>
          </w:p>
        </w:tc>
        <w:tc>
          <w:tcPr>
            <w:tcW w:w="610" w:type="dxa"/>
            <w:tcBorders>
              <w:top w:val="single" w:sz="4" w:space="0" w:color="000000"/>
              <w:left w:val="single" w:sz="4" w:space="0" w:color="000000"/>
              <w:bottom w:val="single" w:sz="8" w:space="0" w:color="000000"/>
              <w:right w:val="single" w:sz="4" w:space="0" w:color="000000"/>
            </w:tcBorders>
          </w:tcPr>
          <w:p w:rsidR="001C682A" w:rsidRDefault="00B03C38">
            <w:pPr>
              <w:spacing w:after="0" w:line="259" w:lineRule="auto"/>
              <w:ind w:left="1" w:firstLine="0"/>
              <w:jc w:val="left"/>
            </w:pPr>
            <w:r>
              <w:rPr>
                <w:sz w:val="11"/>
              </w:rPr>
              <w:t xml:space="preserve">       (20.83)</w:t>
            </w:r>
          </w:p>
        </w:tc>
        <w:tc>
          <w:tcPr>
            <w:tcW w:w="465" w:type="dxa"/>
            <w:tcBorders>
              <w:top w:val="single" w:sz="4" w:space="0" w:color="000000"/>
              <w:left w:val="single" w:sz="4" w:space="0" w:color="000000"/>
              <w:bottom w:val="single" w:sz="8" w:space="0" w:color="000000"/>
              <w:right w:val="single" w:sz="3" w:space="0" w:color="000000"/>
            </w:tcBorders>
          </w:tcPr>
          <w:p w:rsidR="001C682A" w:rsidRDefault="00B03C38">
            <w:pPr>
              <w:spacing w:after="0" w:line="259" w:lineRule="auto"/>
              <w:ind w:left="0" w:right="4" w:firstLine="0"/>
              <w:jc w:val="right"/>
            </w:pPr>
            <w:r>
              <w:rPr>
                <w:sz w:val="11"/>
              </w:rPr>
              <w:t>-100%</w:t>
            </w:r>
          </w:p>
        </w:tc>
      </w:tr>
    </w:tbl>
    <w:bookmarkEnd w:id="37"/>
    <w:p w:rsidR="001C682A" w:rsidRDefault="00B03C38">
      <w:pPr>
        <w:ind w:left="236" w:right="816"/>
      </w:pPr>
      <w:r>
        <w:t xml:space="preserve">As at end of May 2020, FGN’s retained revenue was N1.62 trillion. The share of oil revenue was N844.97 billion (representing 100% above the prorated sum) while Nonoil tax revenue was N439.32 billion (65% less performance). Company </w:t>
      </w:r>
    </w:p>
    <w:p w:rsidR="001C682A" w:rsidRDefault="00B03C38">
      <w:pPr>
        <w:spacing w:after="7" w:line="253" w:lineRule="auto"/>
        <w:ind w:left="236" w:right="818"/>
        <w:jc w:val="right"/>
      </w:pPr>
      <w:r>
        <w:t xml:space="preserve">Income Tax (CIT) and Value Added Tax (VAT) collections were N213.24 billion </w:t>
      </w:r>
      <w:r>
        <w:tab/>
        <w:t xml:space="preserve">and </w:t>
      </w:r>
      <w:r>
        <w:tab/>
        <w:t xml:space="preserve">N68.09 </w:t>
      </w:r>
      <w:r>
        <w:tab/>
        <w:t xml:space="preserve">billion respectively, representing 62% and 58% </w:t>
      </w:r>
      <w:r>
        <w:tab/>
        <w:t xml:space="preserve">of </w:t>
      </w:r>
      <w:r>
        <w:tab/>
        <w:t xml:space="preserve">the </w:t>
      </w:r>
      <w:r>
        <w:tab/>
      </w:r>
      <w:proofErr w:type="spellStart"/>
      <w:r>
        <w:t>prorata</w:t>
      </w:r>
      <w:proofErr w:type="spellEnd"/>
      <w:r>
        <w:t xml:space="preserve">. </w:t>
      </w:r>
      <w:r>
        <w:tab/>
        <w:t xml:space="preserve">Customs collections was N158 billion (73% of target). Other revenues amounted to </w:t>
      </w:r>
    </w:p>
    <w:p w:rsidR="001C682A" w:rsidRDefault="00B03C38">
      <w:pPr>
        <w:tabs>
          <w:tab w:val="center" w:pos="6120"/>
          <w:tab w:val="center" w:pos="7293"/>
          <w:tab w:val="center" w:pos="8143"/>
          <w:tab w:val="center" w:pos="8962"/>
        </w:tabs>
        <w:spacing w:after="7" w:line="253" w:lineRule="auto"/>
        <w:ind w:left="0" w:firstLine="0"/>
        <w:jc w:val="left"/>
      </w:pPr>
      <w:r>
        <w:rPr>
          <w:rFonts w:ascii="Calibri" w:eastAsia="Calibri" w:hAnsi="Calibri" w:cs="Calibri"/>
        </w:rPr>
        <w:tab/>
      </w:r>
      <w:r>
        <w:t xml:space="preserve">N339.51 </w:t>
      </w:r>
      <w:r>
        <w:tab/>
        <w:t xml:space="preserve">billion, </w:t>
      </w:r>
      <w:r>
        <w:tab/>
        <w:t xml:space="preserve">of </w:t>
      </w:r>
      <w:r>
        <w:tab/>
        <w:t xml:space="preserve">which </w:t>
      </w:r>
    </w:p>
    <w:p w:rsidR="001C682A" w:rsidRDefault="00B03C38">
      <w:pPr>
        <w:spacing w:after="449"/>
        <w:ind w:left="236" w:right="816"/>
      </w:pPr>
      <w:r>
        <w:t xml:space="preserve">independent revenues </w:t>
      </w:r>
      <w:proofErr w:type="gramStart"/>
      <w:r>
        <w:t>was</w:t>
      </w:r>
      <w:proofErr w:type="gramEnd"/>
      <w:r>
        <w:t xml:space="preserve"> N189.31 billion. </w:t>
      </w:r>
    </w:p>
    <w:p w:rsidR="001C682A" w:rsidRDefault="00B03C38">
      <w:pPr>
        <w:pStyle w:val="Heading3"/>
        <w:tabs>
          <w:tab w:val="center" w:pos="413"/>
          <w:tab w:val="center" w:pos="2338"/>
        </w:tabs>
        <w:ind w:left="0" w:firstLine="0"/>
      </w:pPr>
      <w:bookmarkStart w:id="38" w:name="_Toc389391"/>
      <w:r>
        <w:rPr>
          <w:rFonts w:ascii="Calibri" w:eastAsia="Calibri" w:hAnsi="Calibri" w:cs="Calibri"/>
          <w:color w:val="000000"/>
          <w:sz w:val="22"/>
        </w:rPr>
        <w:tab/>
      </w:r>
      <w:r>
        <w:t xml:space="preserve">4.2 </w:t>
      </w:r>
      <w:r>
        <w:tab/>
        <w:t xml:space="preserve">Expenditure Outturns </w:t>
      </w:r>
      <w:bookmarkEnd w:id="38"/>
    </w:p>
    <w:p w:rsidR="001C682A" w:rsidRDefault="00B03C38">
      <w:pPr>
        <w:spacing w:after="222"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80137" name="Group 380137"/>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747" name="Shape 395747"/>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80137" style="width:453.91pt;height:0.480011pt;mso-position-horizontal-relative:char;mso-position-vertical-relative:line" coordsize="57646,60">
                <v:shape id="Shape 395748"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spacing w:after="108" w:line="259" w:lineRule="auto"/>
        <w:ind w:right="819"/>
        <w:jc w:val="right"/>
      </w:pPr>
      <w:bookmarkStart w:id="39" w:name="_Hlk49583107"/>
      <w:r>
        <w:rPr>
          <w:rFonts w:ascii="Franklin Gothic Book" w:eastAsia="Franklin Gothic Book" w:hAnsi="Franklin Gothic Book" w:cs="Franklin Gothic Book"/>
          <w:sz w:val="20"/>
        </w:rPr>
        <w:t>Table 4.4 FGN Expenditure Performance (Jan-May) 2020</w:t>
      </w:r>
      <w:r>
        <w:rPr>
          <w:sz w:val="21"/>
        </w:rPr>
        <w:t xml:space="preserve"> </w:t>
      </w:r>
    </w:p>
    <w:tbl>
      <w:tblPr>
        <w:tblStyle w:val="TableGrid"/>
        <w:tblpPr w:vertAnchor="text" w:tblpX="3714"/>
        <w:tblOverlap w:val="never"/>
        <w:tblW w:w="5599" w:type="dxa"/>
        <w:tblInd w:w="0" w:type="dxa"/>
        <w:tblCellMar>
          <w:top w:w="17" w:type="dxa"/>
          <w:left w:w="26" w:type="dxa"/>
          <w:right w:w="14" w:type="dxa"/>
        </w:tblCellMar>
        <w:tblLook w:val="04A0" w:firstRow="1" w:lastRow="0" w:firstColumn="1" w:lastColumn="0" w:noHBand="0" w:noVBand="1"/>
      </w:tblPr>
      <w:tblGrid>
        <w:gridCol w:w="285"/>
        <w:gridCol w:w="2212"/>
        <w:gridCol w:w="674"/>
        <w:gridCol w:w="633"/>
        <w:gridCol w:w="633"/>
        <w:gridCol w:w="643"/>
        <w:gridCol w:w="519"/>
      </w:tblGrid>
      <w:tr w:rsidR="001C682A">
        <w:trPr>
          <w:trHeight w:val="512"/>
        </w:trPr>
        <w:tc>
          <w:tcPr>
            <w:tcW w:w="285" w:type="dxa"/>
            <w:tcBorders>
              <w:top w:val="single" w:sz="3" w:space="0" w:color="000000"/>
              <w:left w:val="single" w:sz="4" w:space="0" w:color="000000"/>
              <w:bottom w:val="single" w:sz="4" w:space="0" w:color="000000"/>
              <w:right w:val="single" w:sz="4" w:space="0" w:color="000000"/>
            </w:tcBorders>
            <w:shd w:val="clear" w:color="auto" w:fill="1F4E78"/>
          </w:tcPr>
          <w:p w:rsidR="001C682A" w:rsidRDefault="001C682A">
            <w:pPr>
              <w:spacing w:after="160" w:line="259" w:lineRule="auto"/>
              <w:ind w:left="0" w:firstLine="0"/>
              <w:jc w:val="left"/>
            </w:pPr>
          </w:p>
        </w:tc>
        <w:tc>
          <w:tcPr>
            <w:tcW w:w="2232" w:type="dxa"/>
            <w:vMerge w:val="restart"/>
            <w:tcBorders>
              <w:top w:val="single" w:sz="3" w:space="0" w:color="000000"/>
              <w:left w:val="single" w:sz="4" w:space="0" w:color="000000"/>
              <w:bottom w:val="single" w:sz="9" w:space="0" w:color="000000"/>
              <w:right w:val="single" w:sz="4" w:space="0" w:color="000000"/>
            </w:tcBorders>
            <w:shd w:val="clear" w:color="auto" w:fill="1F4E78"/>
            <w:vAlign w:val="center"/>
          </w:tcPr>
          <w:p w:rsidR="001C682A" w:rsidRDefault="00B03C38">
            <w:pPr>
              <w:spacing w:after="0" w:line="259" w:lineRule="auto"/>
              <w:ind w:left="0" w:right="24" w:firstLine="0"/>
              <w:jc w:val="center"/>
            </w:pPr>
            <w:r>
              <w:rPr>
                <w:b/>
                <w:color w:val="FFFFFF"/>
                <w:sz w:val="15"/>
              </w:rPr>
              <w:t>Fiscal Items</w:t>
            </w:r>
          </w:p>
        </w:tc>
        <w:tc>
          <w:tcPr>
            <w:tcW w:w="1945" w:type="dxa"/>
            <w:gridSpan w:val="3"/>
            <w:tcBorders>
              <w:top w:val="single" w:sz="3" w:space="0" w:color="000000"/>
              <w:left w:val="single" w:sz="4" w:space="0" w:color="000000"/>
              <w:bottom w:val="single" w:sz="4" w:space="0" w:color="000000"/>
              <w:right w:val="single" w:sz="4" w:space="0" w:color="000000"/>
            </w:tcBorders>
            <w:shd w:val="clear" w:color="auto" w:fill="1F4E78"/>
          </w:tcPr>
          <w:p w:rsidR="001C682A" w:rsidRDefault="00B03C38">
            <w:pPr>
              <w:spacing w:after="0" w:line="259" w:lineRule="auto"/>
              <w:ind w:left="185" w:firstLine="0"/>
              <w:jc w:val="left"/>
            </w:pPr>
            <w:r>
              <w:rPr>
                <w:b/>
                <w:color w:val="FFFFFF"/>
                <w:sz w:val="12"/>
              </w:rPr>
              <w:t xml:space="preserve">2020 </w:t>
            </w:r>
          </w:p>
          <w:p w:rsidR="001C682A" w:rsidRDefault="00B03C38">
            <w:pPr>
              <w:tabs>
                <w:tab w:val="center" w:pos="968"/>
                <w:tab w:val="right" w:pos="1906"/>
              </w:tabs>
              <w:spacing w:after="0" w:line="259" w:lineRule="auto"/>
              <w:ind w:left="0" w:firstLine="0"/>
              <w:jc w:val="left"/>
            </w:pPr>
            <w:r>
              <w:rPr>
                <w:rFonts w:ascii="Calibri" w:eastAsia="Calibri" w:hAnsi="Calibri" w:cs="Calibri"/>
              </w:rPr>
              <w:tab/>
            </w:r>
            <w:r>
              <w:rPr>
                <w:b/>
                <w:color w:val="FFFFFF"/>
                <w:sz w:val="12"/>
              </w:rPr>
              <w:t>Pro Rata</w:t>
            </w:r>
            <w:r>
              <w:rPr>
                <w:b/>
                <w:color w:val="FFFFFF"/>
                <w:sz w:val="12"/>
              </w:rPr>
              <w:tab/>
              <w:t xml:space="preserve">Actuals </w:t>
            </w:r>
          </w:p>
          <w:p w:rsidR="001C682A" w:rsidRDefault="00B03C38">
            <w:pPr>
              <w:spacing w:after="0" w:line="259" w:lineRule="auto"/>
              <w:ind w:left="93" w:firstLine="0"/>
              <w:jc w:val="left"/>
            </w:pPr>
            <w:r>
              <w:rPr>
                <w:b/>
                <w:color w:val="FFFFFF"/>
                <w:sz w:val="12"/>
              </w:rPr>
              <w:t xml:space="preserve">Revised </w:t>
            </w:r>
          </w:p>
          <w:p w:rsidR="001C682A" w:rsidRDefault="00B03C38">
            <w:pPr>
              <w:spacing w:after="0" w:line="259" w:lineRule="auto"/>
              <w:ind w:left="113" w:firstLine="573"/>
            </w:pPr>
            <w:r>
              <w:rPr>
                <w:b/>
                <w:color w:val="FFFFFF"/>
                <w:sz w:val="12"/>
              </w:rPr>
              <w:t xml:space="preserve"> (Jan-May) (Jan-May) Budget</w:t>
            </w:r>
          </w:p>
        </w:tc>
        <w:tc>
          <w:tcPr>
            <w:tcW w:w="1137" w:type="dxa"/>
            <w:gridSpan w:val="2"/>
            <w:tcBorders>
              <w:top w:val="single" w:sz="3" w:space="0" w:color="000000"/>
              <w:left w:val="single" w:sz="4" w:space="0" w:color="000000"/>
              <w:bottom w:val="single" w:sz="4" w:space="0" w:color="000000"/>
              <w:right w:val="single" w:sz="3" w:space="0" w:color="000000"/>
            </w:tcBorders>
            <w:shd w:val="clear" w:color="auto" w:fill="1F4E78"/>
            <w:vAlign w:val="center"/>
          </w:tcPr>
          <w:p w:rsidR="001C682A" w:rsidRDefault="00B03C38">
            <w:pPr>
              <w:spacing w:after="0" w:line="259" w:lineRule="auto"/>
              <w:ind w:left="1" w:firstLine="0"/>
              <w:jc w:val="center"/>
            </w:pPr>
            <w:r>
              <w:rPr>
                <w:b/>
                <w:color w:val="FFFFFF"/>
                <w:sz w:val="12"/>
              </w:rPr>
              <w:t>Variance</w:t>
            </w:r>
          </w:p>
        </w:tc>
      </w:tr>
      <w:tr w:rsidR="001C682A">
        <w:trPr>
          <w:trHeight w:val="326"/>
        </w:trPr>
        <w:tc>
          <w:tcPr>
            <w:tcW w:w="285" w:type="dxa"/>
            <w:tcBorders>
              <w:top w:val="single" w:sz="4" w:space="0" w:color="000000"/>
              <w:left w:val="single" w:sz="4" w:space="0" w:color="000000"/>
              <w:bottom w:val="single" w:sz="9" w:space="0" w:color="000000"/>
              <w:right w:val="single" w:sz="4" w:space="0" w:color="000000"/>
            </w:tcBorders>
            <w:shd w:val="clear" w:color="auto" w:fill="1F4E78"/>
          </w:tcPr>
          <w:p w:rsidR="001C682A" w:rsidRDefault="001C682A">
            <w:pPr>
              <w:spacing w:after="160" w:line="259" w:lineRule="auto"/>
              <w:ind w:left="0" w:firstLine="0"/>
              <w:jc w:val="left"/>
            </w:pPr>
          </w:p>
        </w:tc>
        <w:tc>
          <w:tcPr>
            <w:tcW w:w="0" w:type="auto"/>
            <w:vMerge/>
            <w:tcBorders>
              <w:top w:val="nil"/>
              <w:left w:val="single" w:sz="4" w:space="0" w:color="000000"/>
              <w:bottom w:val="single" w:sz="9" w:space="0" w:color="000000"/>
              <w:right w:val="single" w:sz="4" w:space="0" w:color="000000"/>
            </w:tcBorders>
          </w:tcPr>
          <w:p w:rsidR="001C682A" w:rsidRDefault="001C682A">
            <w:pPr>
              <w:spacing w:after="160" w:line="259" w:lineRule="auto"/>
              <w:ind w:left="0" w:firstLine="0"/>
              <w:jc w:val="left"/>
            </w:pPr>
          </w:p>
        </w:tc>
        <w:tc>
          <w:tcPr>
            <w:tcW w:w="1945" w:type="dxa"/>
            <w:gridSpan w:val="3"/>
            <w:tcBorders>
              <w:top w:val="single" w:sz="4" w:space="0" w:color="000000"/>
              <w:left w:val="single" w:sz="4" w:space="0" w:color="000000"/>
              <w:bottom w:val="single" w:sz="9" w:space="0" w:color="000000"/>
              <w:right w:val="single" w:sz="4" w:space="0" w:color="000000"/>
            </w:tcBorders>
            <w:shd w:val="clear" w:color="auto" w:fill="1F4E78"/>
          </w:tcPr>
          <w:p w:rsidR="001C682A" w:rsidRDefault="00B03C38">
            <w:pPr>
              <w:spacing w:after="0" w:line="259" w:lineRule="auto"/>
              <w:ind w:left="0" w:right="21" w:firstLine="0"/>
              <w:jc w:val="center"/>
            </w:pPr>
            <w:r>
              <w:rPr>
                <w:b/>
                <w:color w:val="FFFFFF"/>
                <w:sz w:val="12"/>
              </w:rPr>
              <w:t>Billions of Naira</w:t>
            </w:r>
          </w:p>
        </w:tc>
        <w:tc>
          <w:tcPr>
            <w:tcW w:w="1137" w:type="dxa"/>
            <w:gridSpan w:val="2"/>
            <w:tcBorders>
              <w:top w:val="single" w:sz="4" w:space="0" w:color="000000"/>
              <w:left w:val="single" w:sz="4" w:space="0" w:color="000000"/>
              <w:bottom w:val="single" w:sz="9" w:space="0" w:color="000000"/>
              <w:right w:val="single" w:sz="3" w:space="0" w:color="000000"/>
            </w:tcBorders>
            <w:shd w:val="clear" w:color="auto" w:fill="1F4E78"/>
          </w:tcPr>
          <w:p w:rsidR="001C682A" w:rsidRDefault="00B03C38">
            <w:pPr>
              <w:spacing w:after="19" w:line="259" w:lineRule="auto"/>
              <w:ind w:left="21" w:firstLine="0"/>
              <w:jc w:val="left"/>
            </w:pPr>
            <w:r>
              <w:rPr>
                <w:b/>
                <w:color w:val="FFFFFF"/>
                <w:sz w:val="12"/>
              </w:rPr>
              <w:t xml:space="preserve">Billions of </w:t>
            </w:r>
          </w:p>
          <w:p w:rsidR="001C682A" w:rsidRDefault="00B03C38">
            <w:pPr>
              <w:tabs>
                <w:tab w:val="right" w:pos="1097"/>
              </w:tabs>
              <w:spacing w:after="0" w:line="259" w:lineRule="auto"/>
              <w:ind w:left="0" w:firstLine="0"/>
              <w:jc w:val="left"/>
            </w:pPr>
            <w:r>
              <w:rPr>
                <w:b/>
                <w:color w:val="FFFFFF"/>
                <w:sz w:val="12"/>
              </w:rPr>
              <w:t>Naira</w:t>
            </w:r>
            <w:r>
              <w:rPr>
                <w:b/>
                <w:color w:val="FFFFFF"/>
                <w:sz w:val="12"/>
              </w:rPr>
              <w:tab/>
              <w:t>%</w:t>
            </w:r>
          </w:p>
        </w:tc>
      </w:tr>
      <w:tr w:rsidR="001C682A">
        <w:trPr>
          <w:trHeight w:val="333"/>
        </w:trPr>
        <w:tc>
          <w:tcPr>
            <w:tcW w:w="285" w:type="dxa"/>
            <w:tcBorders>
              <w:top w:val="single" w:sz="9" w:space="0" w:color="000000"/>
              <w:left w:val="single" w:sz="4" w:space="0" w:color="000000"/>
              <w:bottom w:val="single" w:sz="4" w:space="0" w:color="000000"/>
              <w:right w:val="single" w:sz="4" w:space="0" w:color="000000"/>
            </w:tcBorders>
            <w:shd w:val="clear" w:color="auto" w:fill="D0CECE"/>
          </w:tcPr>
          <w:p w:rsidR="001C682A" w:rsidRDefault="00B03C38">
            <w:pPr>
              <w:spacing w:after="0" w:line="259" w:lineRule="auto"/>
              <w:ind w:left="30" w:firstLine="0"/>
            </w:pPr>
            <w:r>
              <w:rPr>
                <w:b/>
                <w:sz w:val="12"/>
              </w:rPr>
              <w:t>S/N</w:t>
            </w:r>
          </w:p>
        </w:tc>
        <w:tc>
          <w:tcPr>
            <w:tcW w:w="2232" w:type="dxa"/>
            <w:tcBorders>
              <w:top w:val="single" w:sz="9" w:space="0" w:color="000000"/>
              <w:left w:val="single" w:sz="4" w:space="0" w:color="000000"/>
              <w:bottom w:val="single" w:sz="4" w:space="0" w:color="000000"/>
              <w:right w:val="single" w:sz="4" w:space="0" w:color="000000"/>
            </w:tcBorders>
            <w:shd w:val="clear" w:color="auto" w:fill="D0CECE"/>
          </w:tcPr>
          <w:p w:rsidR="001C682A" w:rsidRDefault="00B03C38">
            <w:pPr>
              <w:spacing w:line="259" w:lineRule="auto"/>
              <w:ind w:left="0" w:firstLine="0"/>
              <w:jc w:val="left"/>
            </w:pPr>
            <w:r>
              <w:rPr>
                <w:b/>
                <w:sz w:val="12"/>
              </w:rPr>
              <w:t xml:space="preserve">FGN EXPENDITURE (excl. GOEs and </w:t>
            </w:r>
          </w:p>
          <w:p w:rsidR="001C682A" w:rsidRDefault="00B03C38">
            <w:pPr>
              <w:spacing w:after="0" w:line="259" w:lineRule="auto"/>
              <w:ind w:left="0" w:firstLine="0"/>
              <w:jc w:val="left"/>
            </w:pPr>
            <w:r>
              <w:rPr>
                <w:b/>
                <w:sz w:val="12"/>
              </w:rPr>
              <w:t>Project-tied Loans)</w:t>
            </w:r>
          </w:p>
        </w:tc>
        <w:tc>
          <w:tcPr>
            <w:tcW w:w="676" w:type="dxa"/>
            <w:tcBorders>
              <w:top w:val="single" w:sz="9" w:space="0" w:color="000000"/>
              <w:left w:val="single" w:sz="4" w:space="0" w:color="000000"/>
              <w:bottom w:val="single" w:sz="4" w:space="0" w:color="000000"/>
              <w:right w:val="single" w:sz="4" w:space="0" w:color="000000"/>
            </w:tcBorders>
            <w:shd w:val="clear" w:color="auto" w:fill="D0CECE"/>
          </w:tcPr>
          <w:p w:rsidR="001C682A" w:rsidRDefault="00B03C38">
            <w:pPr>
              <w:spacing w:after="0" w:line="259" w:lineRule="auto"/>
              <w:ind w:left="21" w:firstLine="0"/>
              <w:jc w:val="left"/>
            </w:pPr>
            <w:r>
              <w:rPr>
                <w:b/>
                <w:sz w:val="12"/>
              </w:rPr>
              <w:t xml:space="preserve">     9,973.67 </w:t>
            </w:r>
          </w:p>
        </w:tc>
        <w:tc>
          <w:tcPr>
            <w:tcW w:w="635" w:type="dxa"/>
            <w:tcBorders>
              <w:top w:val="single" w:sz="9" w:space="0" w:color="000000"/>
              <w:left w:val="single" w:sz="4" w:space="0" w:color="000000"/>
              <w:bottom w:val="single" w:sz="4" w:space="0" w:color="000000"/>
              <w:right w:val="single" w:sz="4" w:space="0" w:color="000000"/>
            </w:tcBorders>
            <w:shd w:val="clear" w:color="auto" w:fill="D0CECE"/>
          </w:tcPr>
          <w:p w:rsidR="001C682A" w:rsidRDefault="00B03C38">
            <w:pPr>
              <w:spacing w:after="0" w:line="259" w:lineRule="auto"/>
              <w:ind w:firstLine="0"/>
            </w:pPr>
            <w:r>
              <w:rPr>
                <w:b/>
                <w:sz w:val="12"/>
              </w:rPr>
              <w:t xml:space="preserve">    4,155.69 </w:t>
            </w:r>
          </w:p>
        </w:tc>
        <w:tc>
          <w:tcPr>
            <w:tcW w:w="635" w:type="dxa"/>
            <w:tcBorders>
              <w:top w:val="single" w:sz="9" w:space="0" w:color="000000"/>
              <w:left w:val="single" w:sz="4" w:space="0" w:color="000000"/>
              <w:bottom w:val="single" w:sz="4" w:space="0" w:color="000000"/>
              <w:right w:val="single" w:sz="4" w:space="0" w:color="000000"/>
            </w:tcBorders>
            <w:shd w:val="clear" w:color="auto" w:fill="D0CECE"/>
          </w:tcPr>
          <w:p w:rsidR="001C682A" w:rsidRDefault="00B03C38">
            <w:pPr>
              <w:spacing w:after="0" w:line="259" w:lineRule="auto"/>
              <w:ind w:left="11" w:firstLine="0"/>
            </w:pPr>
            <w:r>
              <w:rPr>
                <w:b/>
                <w:sz w:val="12"/>
              </w:rPr>
              <w:t xml:space="preserve">    3,975.32 </w:t>
            </w:r>
          </w:p>
        </w:tc>
        <w:tc>
          <w:tcPr>
            <w:tcW w:w="1137" w:type="dxa"/>
            <w:gridSpan w:val="2"/>
            <w:tcBorders>
              <w:top w:val="single" w:sz="9" w:space="0" w:color="000000"/>
              <w:left w:val="single" w:sz="4" w:space="0" w:color="000000"/>
              <w:bottom w:val="single" w:sz="4" w:space="0" w:color="000000"/>
              <w:right w:val="single" w:sz="3" w:space="0" w:color="000000"/>
            </w:tcBorders>
            <w:shd w:val="clear" w:color="auto" w:fill="D0CECE"/>
          </w:tcPr>
          <w:p w:rsidR="001C682A" w:rsidRDefault="00B03C38">
            <w:pPr>
              <w:tabs>
                <w:tab w:val="right" w:pos="1097"/>
              </w:tabs>
              <w:spacing w:after="0" w:line="259" w:lineRule="auto"/>
              <w:ind w:left="0" w:firstLine="0"/>
              <w:jc w:val="left"/>
            </w:pPr>
            <w:r>
              <w:rPr>
                <w:b/>
                <w:sz w:val="12"/>
              </w:rPr>
              <w:t xml:space="preserve">       180.37 </w:t>
            </w:r>
            <w:r>
              <w:rPr>
                <w:b/>
                <w:sz w:val="12"/>
              </w:rPr>
              <w:tab/>
              <w:t>-4.3%</w:t>
            </w:r>
          </w:p>
        </w:tc>
      </w:tr>
      <w:tr w:rsidR="001C682A">
        <w:trPr>
          <w:trHeight w:val="163"/>
        </w:trPr>
        <w:tc>
          <w:tcPr>
            <w:tcW w:w="28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2" w:firstLine="0"/>
              <w:jc w:val="right"/>
            </w:pPr>
            <w:r>
              <w:rPr>
                <w:b/>
                <w:sz w:val="12"/>
              </w:rPr>
              <w:t>A</w:t>
            </w:r>
          </w:p>
        </w:tc>
        <w:tc>
          <w:tcPr>
            <w:tcW w:w="22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rPr>
                <w:b/>
                <w:sz w:val="12"/>
              </w:rPr>
              <w:t>Statutory Transfers</w:t>
            </w:r>
          </w:p>
        </w:tc>
        <w:tc>
          <w:tcPr>
            <w:tcW w:w="67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b/>
                <w:sz w:val="12"/>
              </w:rPr>
              <w:t xml:space="preserve">        428.03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pPr>
            <w:r>
              <w:rPr>
                <w:b/>
                <w:sz w:val="12"/>
              </w:rPr>
              <w:t xml:space="preserve">       178.35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b/>
                <w:sz w:val="12"/>
              </w:rPr>
              <w:t xml:space="preserve">       233.53 </w:t>
            </w:r>
          </w:p>
        </w:tc>
        <w:tc>
          <w:tcPr>
            <w:tcW w:w="64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rPr>
                <w:b/>
                <w:sz w:val="12"/>
              </w:rPr>
              <w:t xml:space="preserve">       (55.18)</w:t>
            </w:r>
          </w:p>
        </w:tc>
        <w:tc>
          <w:tcPr>
            <w:tcW w:w="492"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0" w:right="4" w:firstLine="0"/>
              <w:jc w:val="right"/>
            </w:pPr>
            <w:r>
              <w:rPr>
                <w:sz w:val="12"/>
              </w:rPr>
              <w:t>30.9%</w:t>
            </w:r>
          </w:p>
        </w:tc>
      </w:tr>
      <w:tr w:rsidR="001C682A">
        <w:trPr>
          <w:trHeight w:val="164"/>
        </w:trPr>
        <w:tc>
          <w:tcPr>
            <w:tcW w:w="28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2" w:firstLine="0"/>
              <w:jc w:val="right"/>
            </w:pPr>
            <w:r>
              <w:rPr>
                <w:b/>
                <w:sz w:val="12"/>
              </w:rPr>
              <w:t>B</w:t>
            </w:r>
          </w:p>
        </w:tc>
        <w:tc>
          <w:tcPr>
            <w:tcW w:w="22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rPr>
                <w:b/>
                <w:sz w:val="12"/>
              </w:rPr>
              <w:t>Recurrent Expenditure</w:t>
            </w:r>
          </w:p>
        </w:tc>
        <w:tc>
          <w:tcPr>
            <w:tcW w:w="67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b/>
                <w:sz w:val="12"/>
              </w:rPr>
              <w:t xml:space="preserve">     7,585.57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pPr>
            <w:r>
              <w:rPr>
                <w:b/>
                <w:sz w:val="12"/>
              </w:rPr>
              <w:t xml:space="preserve">    3,160.65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b/>
                <w:sz w:val="12"/>
              </w:rPr>
              <w:t xml:space="preserve">    3,362.94 </w:t>
            </w:r>
          </w:p>
        </w:tc>
        <w:tc>
          <w:tcPr>
            <w:tcW w:w="64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rPr>
                <w:b/>
                <w:sz w:val="12"/>
              </w:rPr>
              <w:t xml:space="preserve">     (202.29)</w:t>
            </w:r>
          </w:p>
        </w:tc>
        <w:tc>
          <w:tcPr>
            <w:tcW w:w="492"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0" w:right="4" w:firstLine="0"/>
              <w:jc w:val="right"/>
            </w:pPr>
            <w:r>
              <w:rPr>
                <w:b/>
                <w:sz w:val="12"/>
              </w:rPr>
              <w:t>6.4%</w:t>
            </w:r>
          </w:p>
        </w:tc>
      </w:tr>
      <w:bookmarkEnd w:id="39"/>
      <w:tr w:rsidR="001C682A">
        <w:trPr>
          <w:trHeight w:val="164"/>
        </w:trPr>
        <w:tc>
          <w:tcPr>
            <w:tcW w:w="28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0" w:firstLine="0"/>
              <w:jc w:val="right"/>
            </w:pPr>
            <w:r>
              <w:rPr>
                <w:sz w:val="12"/>
              </w:rPr>
              <w:t>1</w:t>
            </w:r>
          </w:p>
        </w:tc>
        <w:tc>
          <w:tcPr>
            <w:tcW w:w="22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92" w:firstLine="0"/>
              <w:jc w:val="left"/>
            </w:pPr>
            <w:r>
              <w:rPr>
                <w:b/>
                <w:sz w:val="12"/>
              </w:rPr>
              <w:t>Non-Debt Recurrent Expenditure</w:t>
            </w:r>
          </w:p>
        </w:tc>
        <w:tc>
          <w:tcPr>
            <w:tcW w:w="67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b/>
                <w:sz w:val="12"/>
              </w:rPr>
              <w:t xml:space="preserve">     4,633.86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pPr>
            <w:r>
              <w:rPr>
                <w:b/>
                <w:sz w:val="12"/>
              </w:rPr>
              <w:t xml:space="preserve">    1,930.77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b/>
                <w:sz w:val="12"/>
              </w:rPr>
              <w:t xml:space="preserve">    1,787.69 </w:t>
            </w:r>
          </w:p>
        </w:tc>
        <w:tc>
          <w:tcPr>
            <w:tcW w:w="64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pPr>
            <w:r>
              <w:rPr>
                <w:b/>
                <w:sz w:val="12"/>
              </w:rPr>
              <w:t xml:space="preserve">       143.09 </w:t>
            </w:r>
          </w:p>
        </w:tc>
        <w:tc>
          <w:tcPr>
            <w:tcW w:w="492"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0" w:right="4" w:firstLine="0"/>
              <w:jc w:val="right"/>
            </w:pPr>
            <w:r>
              <w:rPr>
                <w:b/>
                <w:sz w:val="12"/>
              </w:rPr>
              <w:t>-7.4%</w:t>
            </w:r>
          </w:p>
        </w:tc>
      </w:tr>
      <w:tr w:rsidR="001C682A">
        <w:trPr>
          <w:trHeight w:val="164"/>
        </w:trPr>
        <w:tc>
          <w:tcPr>
            <w:tcW w:w="28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0" w:firstLine="0"/>
              <w:jc w:val="right"/>
            </w:pPr>
            <w:r>
              <w:rPr>
                <w:sz w:val="12"/>
              </w:rPr>
              <w:t>a</w:t>
            </w:r>
          </w:p>
        </w:tc>
        <w:tc>
          <w:tcPr>
            <w:tcW w:w="22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84" w:firstLine="0"/>
              <w:jc w:val="left"/>
            </w:pPr>
            <w:r>
              <w:rPr>
                <w:sz w:val="12"/>
              </w:rPr>
              <w:t>Personnel Costs</w:t>
            </w:r>
          </w:p>
        </w:tc>
        <w:tc>
          <w:tcPr>
            <w:tcW w:w="67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2"/>
              </w:rPr>
              <w:t xml:space="preserve">     2,827.65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pPr>
            <w:r>
              <w:rPr>
                <w:sz w:val="12"/>
              </w:rPr>
              <w:t xml:space="preserve">    1,178.19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2"/>
              </w:rPr>
              <w:t xml:space="preserve">    1,174.15 </w:t>
            </w:r>
          </w:p>
        </w:tc>
        <w:tc>
          <w:tcPr>
            <w:tcW w:w="64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1" w:firstLine="0"/>
              <w:jc w:val="left"/>
            </w:pPr>
            <w:r>
              <w:rPr>
                <w:sz w:val="12"/>
              </w:rPr>
              <w:t xml:space="preserve">           4.03 </w:t>
            </w:r>
          </w:p>
        </w:tc>
        <w:tc>
          <w:tcPr>
            <w:tcW w:w="492"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0" w:right="4" w:firstLine="0"/>
              <w:jc w:val="right"/>
            </w:pPr>
            <w:r>
              <w:rPr>
                <w:sz w:val="12"/>
              </w:rPr>
              <w:t>-0.3%</w:t>
            </w:r>
          </w:p>
        </w:tc>
      </w:tr>
      <w:tr w:rsidR="001C682A">
        <w:trPr>
          <w:trHeight w:val="329"/>
        </w:trPr>
        <w:tc>
          <w:tcPr>
            <w:tcW w:w="28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0" w:firstLine="0"/>
              <w:jc w:val="right"/>
            </w:pPr>
            <w:r>
              <w:rPr>
                <w:sz w:val="12"/>
              </w:rPr>
              <w:t>b</w:t>
            </w:r>
          </w:p>
        </w:tc>
        <w:tc>
          <w:tcPr>
            <w:tcW w:w="22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84" w:firstLine="0"/>
            </w:pPr>
            <w:r>
              <w:rPr>
                <w:sz w:val="12"/>
              </w:rPr>
              <w:t>Pensions &amp; Gratuities including Service wide pension</w:t>
            </w:r>
          </w:p>
        </w:tc>
        <w:tc>
          <w:tcPr>
            <w:tcW w:w="67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2"/>
              </w:rPr>
              <w:t xml:space="preserve">        536.72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pPr>
            <w:r>
              <w:rPr>
                <w:sz w:val="12"/>
              </w:rPr>
              <w:t xml:space="preserve">       223.63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2"/>
              </w:rPr>
              <w:t xml:space="preserve">       150.33 </w:t>
            </w:r>
          </w:p>
        </w:tc>
        <w:tc>
          <w:tcPr>
            <w:tcW w:w="64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pPr>
            <w:r>
              <w:rPr>
                <w:sz w:val="12"/>
              </w:rPr>
              <w:t xml:space="preserve">         73.30 </w:t>
            </w:r>
          </w:p>
        </w:tc>
        <w:tc>
          <w:tcPr>
            <w:tcW w:w="492"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92" w:firstLine="0"/>
              <w:jc w:val="left"/>
            </w:pPr>
            <w:r>
              <w:rPr>
                <w:sz w:val="12"/>
              </w:rPr>
              <w:t>-32.8%</w:t>
            </w:r>
          </w:p>
        </w:tc>
      </w:tr>
      <w:tr w:rsidR="001C682A">
        <w:trPr>
          <w:trHeight w:val="164"/>
        </w:trPr>
        <w:tc>
          <w:tcPr>
            <w:tcW w:w="28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7" w:firstLine="0"/>
              <w:jc w:val="right"/>
            </w:pPr>
            <w:r>
              <w:rPr>
                <w:sz w:val="12"/>
              </w:rPr>
              <w:t>ii</w:t>
            </w:r>
          </w:p>
        </w:tc>
        <w:tc>
          <w:tcPr>
            <w:tcW w:w="22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84" w:firstLine="0"/>
              <w:jc w:val="left"/>
            </w:pPr>
            <w:r>
              <w:rPr>
                <w:sz w:val="12"/>
              </w:rPr>
              <w:t>Overheads</w:t>
            </w:r>
          </w:p>
        </w:tc>
        <w:tc>
          <w:tcPr>
            <w:tcW w:w="67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2"/>
              </w:rPr>
              <w:t xml:space="preserve">        243.18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pPr>
            <w:r>
              <w:rPr>
                <w:sz w:val="12"/>
              </w:rPr>
              <w:t xml:space="preserve">       101.32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2"/>
              </w:rPr>
              <w:t xml:space="preserve">       123.73 </w:t>
            </w:r>
          </w:p>
        </w:tc>
        <w:tc>
          <w:tcPr>
            <w:tcW w:w="64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1" w:firstLine="0"/>
            </w:pPr>
            <w:r>
              <w:rPr>
                <w:sz w:val="12"/>
              </w:rPr>
              <w:t xml:space="preserve">       (22.41)</w:t>
            </w:r>
          </w:p>
        </w:tc>
        <w:tc>
          <w:tcPr>
            <w:tcW w:w="492"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0" w:right="4" w:firstLine="0"/>
              <w:jc w:val="right"/>
            </w:pPr>
            <w:r>
              <w:rPr>
                <w:sz w:val="12"/>
              </w:rPr>
              <w:t>22.1%</w:t>
            </w:r>
          </w:p>
        </w:tc>
      </w:tr>
      <w:tr w:rsidR="001C682A">
        <w:trPr>
          <w:trHeight w:val="164"/>
        </w:trPr>
        <w:tc>
          <w:tcPr>
            <w:tcW w:w="28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7" w:firstLine="0"/>
              <w:jc w:val="right"/>
            </w:pPr>
            <w:r>
              <w:rPr>
                <w:sz w:val="12"/>
              </w:rPr>
              <w:t>iii</w:t>
            </w:r>
          </w:p>
        </w:tc>
        <w:tc>
          <w:tcPr>
            <w:tcW w:w="22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84" w:firstLine="0"/>
              <w:jc w:val="left"/>
            </w:pPr>
            <w:r>
              <w:rPr>
                <w:sz w:val="12"/>
              </w:rPr>
              <w:t>Other Service Wide Votes</w:t>
            </w:r>
          </w:p>
        </w:tc>
        <w:tc>
          <w:tcPr>
            <w:tcW w:w="67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2"/>
              </w:rPr>
              <w:t xml:space="preserve">        397.33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pPr>
            <w:r>
              <w:rPr>
                <w:sz w:val="12"/>
              </w:rPr>
              <w:t xml:space="preserve">       165.56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2"/>
              </w:rPr>
              <w:t xml:space="preserve">       143.03 </w:t>
            </w:r>
          </w:p>
        </w:tc>
        <w:tc>
          <w:tcPr>
            <w:tcW w:w="64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1" w:firstLine="0"/>
              <w:jc w:val="left"/>
            </w:pPr>
            <w:r>
              <w:rPr>
                <w:sz w:val="12"/>
              </w:rPr>
              <w:t xml:space="preserve">         22.53 </w:t>
            </w:r>
          </w:p>
        </w:tc>
        <w:tc>
          <w:tcPr>
            <w:tcW w:w="492"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92" w:firstLine="0"/>
              <w:jc w:val="left"/>
            </w:pPr>
            <w:r>
              <w:rPr>
                <w:sz w:val="12"/>
              </w:rPr>
              <w:t>-13.6%</w:t>
            </w:r>
          </w:p>
        </w:tc>
      </w:tr>
      <w:tr w:rsidR="001C682A">
        <w:trPr>
          <w:trHeight w:val="164"/>
        </w:trPr>
        <w:tc>
          <w:tcPr>
            <w:tcW w:w="285" w:type="dxa"/>
            <w:tcBorders>
              <w:top w:val="single" w:sz="4"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22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96" w:firstLine="0"/>
              <w:jc w:val="center"/>
            </w:pPr>
            <w:r>
              <w:rPr>
                <w:sz w:val="12"/>
              </w:rPr>
              <w:t>Other Service Wide Votes (COVID-19)</w:t>
            </w:r>
          </w:p>
        </w:tc>
        <w:tc>
          <w:tcPr>
            <w:tcW w:w="67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2"/>
              </w:rPr>
              <w:t xml:space="preserve">        213.98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pPr>
            <w:r>
              <w:rPr>
                <w:sz w:val="12"/>
              </w:rPr>
              <w:t xml:space="preserve">         89.16 </w:t>
            </w:r>
          </w:p>
        </w:tc>
        <w:tc>
          <w:tcPr>
            <w:tcW w:w="635" w:type="dxa"/>
            <w:tcBorders>
              <w:top w:val="single" w:sz="4"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64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1" w:firstLine="0"/>
              <w:jc w:val="left"/>
            </w:pPr>
            <w:r>
              <w:rPr>
                <w:sz w:val="12"/>
              </w:rPr>
              <w:t xml:space="preserve">         89.16 </w:t>
            </w:r>
          </w:p>
        </w:tc>
        <w:tc>
          <w:tcPr>
            <w:tcW w:w="492"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31" w:firstLine="0"/>
            </w:pPr>
            <w:r>
              <w:rPr>
                <w:sz w:val="12"/>
              </w:rPr>
              <w:t>-100.0%</w:t>
            </w:r>
          </w:p>
        </w:tc>
      </w:tr>
      <w:tr w:rsidR="001C682A">
        <w:trPr>
          <w:trHeight w:val="164"/>
        </w:trPr>
        <w:tc>
          <w:tcPr>
            <w:tcW w:w="28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7" w:firstLine="0"/>
              <w:jc w:val="right"/>
            </w:pPr>
            <w:r>
              <w:rPr>
                <w:sz w:val="12"/>
              </w:rPr>
              <w:t>iv</w:t>
            </w:r>
          </w:p>
        </w:tc>
        <w:tc>
          <w:tcPr>
            <w:tcW w:w="22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84" w:firstLine="0"/>
              <w:jc w:val="left"/>
            </w:pPr>
            <w:r>
              <w:rPr>
                <w:sz w:val="12"/>
              </w:rPr>
              <w:t>Presidential Amnesty</w:t>
            </w:r>
          </w:p>
        </w:tc>
        <w:tc>
          <w:tcPr>
            <w:tcW w:w="67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2"/>
              </w:rPr>
              <w:t xml:space="preserve">          65.00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pPr>
            <w:r>
              <w:rPr>
                <w:sz w:val="12"/>
              </w:rPr>
              <w:t xml:space="preserve">         27.08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2"/>
              </w:rPr>
              <w:t xml:space="preserve">         21.67 </w:t>
            </w:r>
          </w:p>
        </w:tc>
        <w:tc>
          <w:tcPr>
            <w:tcW w:w="64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1" w:firstLine="0"/>
              <w:jc w:val="left"/>
            </w:pPr>
            <w:r>
              <w:rPr>
                <w:sz w:val="12"/>
              </w:rPr>
              <w:t xml:space="preserve">           5.42 </w:t>
            </w:r>
          </w:p>
        </w:tc>
        <w:tc>
          <w:tcPr>
            <w:tcW w:w="492"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92" w:firstLine="0"/>
              <w:jc w:val="left"/>
            </w:pPr>
            <w:r>
              <w:rPr>
                <w:sz w:val="12"/>
              </w:rPr>
              <w:t>-20.0%</w:t>
            </w:r>
          </w:p>
        </w:tc>
      </w:tr>
      <w:tr w:rsidR="001C682A">
        <w:trPr>
          <w:trHeight w:val="164"/>
        </w:trPr>
        <w:tc>
          <w:tcPr>
            <w:tcW w:w="28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7" w:firstLine="0"/>
              <w:jc w:val="right"/>
            </w:pPr>
            <w:r>
              <w:rPr>
                <w:sz w:val="12"/>
              </w:rPr>
              <w:t>v</w:t>
            </w:r>
          </w:p>
        </w:tc>
        <w:tc>
          <w:tcPr>
            <w:tcW w:w="22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84" w:firstLine="0"/>
              <w:jc w:val="left"/>
            </w:pPr>
            <w:r>
              <w:rPr>
                <w:sz w:val="12"/>
              </w:rPr>
              <w:t>Special Intervention Programme</w:t>
            </w:r>
          </w:p>
        </w:tc>
        <w:tc>
          <w:tcPr>
            <w:tcW w:w="67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2"/>
              </w:rPr>
              <w:t xml:space="preserve">        350.00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pPr>
            <w:r>
              <w:rPr>
                <w:sz w:val="12"/>
              </w:rPr>
              <w:t xml:space="preserve">       145.83 </w:t>
            </w:r>
          </w:p>
        </w:tc>
        <w:tc>
          <w:tcPr>
            <w:tcW w:w="635" w:type="dxa"/>
            <w:tcBorders>
              <w:top w:val="single" w:sz="4"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64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21" w:firstLine="0"/>
              <w:jc w:val="left"/>
            </w:pPr>
            <w:r>
              <w:rPr>
                <w:sz w:val="12"/>
              </w:rPr>
              <w:t xml:space="preserve">       145.83 </w:t>
            </w:r>
          </w:p>
        </w:tc>
        <w:tc>
          <w:tcPr>
            <w:tcW w:w="492"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31" w:firstLine="0"/>
            </w:pPr>
            <w:r>
              <w:rPr>
                <w:sz w:val="12"/>
              </w:rPr>
              <w:t>-100.0%</w:t>
            </w:r>
          </w:p>
        </w:tc>
      </w:tr>
      <w:tr w:rsidR="001C682A">
        <w:trPr>
          <w:trHeight w:val="164"/>
        </w:trPr>
        <w:tc>
          <w:tcPr>
            <w:tcW w:w="28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7" w:firstLine="0"/>
              <w:jc w:val="right"/>
            </w:pPr>
            <w:r>
              <w:rPr>
                <w:sz w:val="12"/>
              </w:rPr>
              <w:t>vi</w:t>
            </w:r>
          </w:p>
        </w:tc>
        <w:tc>
          <w:tcPr>
            <w:tcW w:w="22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84" w:firstLine="0"/>
              <w:jc w:val="left"/>
            </w:pPr>
            <w:r>
              <w:rPr>
                <w:sz w:val="12"/>
              </w:rPr>
              <w:t>Payment from Special Accounts</w:t>
            </w:r>
          </w:p>
        </w:tc>
        <w:tc>
          <w:tcPr>
            <w:tcW w:w="676" w:type="dxa"/>
            <w:tcBorders>
              <w:top w:val="single" w:sz="4"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rPr>
                <w:sz w:val="12"/>
              </w:rPr>
              <w:t xml:space="preserve">              -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2"/>
              </w:rPr>
              <w:t xml:space="preserve">       174.78 </w:t>
            </w:r>
          </w:p>
        </w:tc>
        <w:tc>
          <w:tcPr>
            <w:tcW w:w="64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1" w:firstLine="0"/>
            </w:pPr>
            <w:r>
              <w:rPr>
                <w:sz w:val="12"/>
              </w:rPr>
              <w:t xml:space="preserve">     (174.78)</w:t>
            </w:r>
          </w:p>
        </w:tc>
        <w:tc>
          <w:tcPr>
            <w:tcW w:w="492" w:type="dxa"/>
            <w:tcBorders>
              <w:top w:val="single" w:sz="4" w:space="0" w:color="000000"/>
              <w:left w:val="single" w:sz="4" w:space="0" w:color="000000"/>
              <w:bottom w:val="single" w:sz="4" w:space="0" w:color="000000"/>
              <w:right w:val="single" w:sz="3" w:space="0" w:color="000000"/>
            </w:tcBorders>
          </w:tcPr>
          <w:p w:rsidR="001C682A" w:rsidRDefault="001C682A">
            <w:pPr>
              <w:spacing w:after="160" w:line="259" w:lineRule="auto"/>
              <w:ind w:left="0" w:firstLine="0"/>
              <w:jc w:val="left"/>
            </w:pPr>
          </w:p>
        </w:tc>
      </w:tr>
      <w:tr w:rsidR="001C682A">
        <w:trPr>
          <w:trHeight w:val="164"/>
        </w:trPr>
        <w:tc>
          <w:tcPr>
            <w:tcW w:w="28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0" w:firstLine="0"/>
              <w:jc w:val="right"/>
            </w:pPr>
            <w:r>
              <w:rPr>
                <w:sz w:val="12"/>
              </w:rPr>
              <w:t>2</w:t>
            </w:r>
          </w:p>
        </w:tc>
        <w:tc>
          <w:tcPr>
            <w:tcW w:w="22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92" w:firstLine="0"/>
              <w:jc w:val="left"/>
            </w:pPr>
            <w:r>
              <w:rPr>
                <w:b/>
                <w:sz w:val="12"/>
              </w:rPr>
              <w:t>Debt Service</w:t>
            </w:r>
          </w:p>
        </w:tc>
        <w:tc>
          <w:tcPr>
            <w:tcW w:w="67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b/>
                <w:sz w:val="12"/>
              </w:rPr>
              <w:t xml:space="preserve">     2,951.71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pPr>
            <w:r>
              <w:rPr>
                <w:b/>
                <w:sz w:val="12"/>
              </w:rPr>
              <w:t xml:space="preserve">    1,229.88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b/>
                <w:sz w:val="12"/>
              </w:rPr>
              <w:t xml:space="preserve">    1,575.26 </w:t>
            </w:r>
          </w:p>
        </w:tc>
        <w:tc>
          <w:tcPr>
            <w:tcW w:w="64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rPr>
                <w:b/>
                <w:sz w:val="12"/>
              </w:rPr>
              <w:t xml:space="preserve">     (345.38)</w:t>
            </w:r>
          </w:p>
        </w:tc>
        <w:tc>
          <w:tcPr>
            <w:tcW w:w="492"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0" w:right="4" w:firstLine="0"/>
              <w:jc w:val="right"/>
            </w:pPr>
            <w:r>
              <w:rPr>
                <w:b/>
                <w:sz w:val="12"/>
              </w:rPr>
              <w:t>28.1%</w:t>
            </w:r>
          </w:p>
        </w:tc>
      </w:tr>
      <w:tr w:rsidR="001C682A">
        <w:trPr>
          <w:trHeight w:val="164"/>
        </w:trPr>
        <w:tc>
          <w:tcPr>
            <w:tcW w:w="28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7" w:firstLine="0"/>
              <w:jc w:val="right"/>
            </w:pPr>
            <w:proofErr w:type="spellStart"/>
            <w:r>
              <w:rPr>
                <w:sz w:val="12"/>
              </w:rPr>
              <w:t>i</w:t>
            </w:r>
            <w:proofErr w:type="spellEnd"/>
          </w:p>
        </w:tc>
        <w:tc>
          <w:tcPr>
            <w:tcW w:w="22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84" w:firstLine="0"/>
              <w:jc w:val="left"/>
            </w:pPr>
            <w:r>
              <w:rPr>
                <w:sz w:val="12"/>
              </w:rPr>
              <w:t>Domestic Debt</w:t>
            </w:r>
          </w:p>
        </w:tc>
        <w:tc>
          <w:tcPr>
            <w:tcW w:w="67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2"/>
              </w:rPr>
              <w:t xml:space="preserve">     1,873.34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pPr>
            <w:r>
              <w:rPr>
                <w:sz w:val="12"/>
              </w:rPr>
              <w:t xml:space="preserve">       780.56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2"/>
              </w:rPr>
              <w:t xml:space="preserve">       987.77 </w:t>
            </w:r>
          </w:p>
        </w:tc>
        <w:tc>
          <w:tcPr>
            <w:tcW w:w="64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rPr>
                <w:sz w:val="12"/>
              </w:rPr>
              <w:t xml:space="preserve">     (207.21)</w:t>
            </w:r>
          </w:p>
        </w:tc>
        <w:tc>
          <w:tcPr>
            <w:tcW w:w="492"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0" w:right="4" w:firstLine="0"/>
              <w:jc w:val="right"/>
            </w:pPr>
            <w:r>
              <w:rPr>
                <w:sz w:val="12"/>
              </w:rPr>
              <w:t>26.5%</w:t>
            </w:r>
          </w:p>
        </w:tc>
      </w:tr>
      <w:tr w:rsidR="001C682A">
        <w:trPr>
          <w:trHeight w:val="164"/>
        </w:trPr>
        <w:tc>
          <w:tcPr>
            <w:tcW w:w="28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7" w:firstLine="0"/>
              <w:jc w:val="right"/>
            </w:pPr>
            <w:r>
              <w:rPr>
                <w:sz w:val="12"/>
              </w:rPr>
              <w:t>ii</w:t>
            </w:r>
          </w:p>
        </w:tc>
        <w:tc>
          <w:tcPr>
            <w:tcW w:w="22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84" w:firstLine="0"/>
              <w:jc w:val="left"/>
            </w:pPr>
            <w:r>
              <w:rPr>
                <w:sz w:val="12"/>
              </w:rPr>
              <w:t>Foreign Debt</w:t>
            </w:r>
          </w:p>
        </w:tc>
        <w:tc>
          <w:tcPr>
            <w:tcW w:w="67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2"/>
              </w:rPr>
              <w:t xml:space="preserve">        805.47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pPr>
            <w:r>
              <w:rPr>
                <w:sz w:val="12"/>
              </w:rPr>
              <w:t xml:space="preserve">       335.61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2"/>
              </w:rPr>
              <w:t xml:space="preserve">       210.96 </w:t>
            </w:r>
          </w:p>
        </w:tc>
        <w:tc>
          <w:tcPr>
            <w:tcW w:w="64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pPr>
            <w:r>
              <w:rPr>
                <w:sz w:val="12"/>
              </w:rPr>
              <w:t xml:space="preserve">       124.66 </w:t>
            </w:r>
          </w:p>
        </w:tc>
        <w:tc>
          <w:tcPr>
            <w:tcW w:w="492"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92" w:firstLine="0"/>
              <w:jc w:val="left"/>
            </w:pPr>
            <w:r>
              <w:rPr>
                <w:sz w:val="12"/>
              </w:rPr>
              <w:t>-37.1%</w:t>
            </w:r>
          </w:p>
        </w:tc>
      </w:tr>
      <w:tr w:rsidR="001C682A">
        <w:trPr>
          <w:trHeight w:val="164"/>
        </w:trPr>
        <w:tc>
          <w:tcPr>
            <w:tcW w:w="28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7" w:firstLine="0"/>
              <w:jc w:val="right"/>
            </w:pPr>
            <w:r>
              <w:rPr>
                <w:sz w:val="12"/>
              </w:rPr>
              <w:t>iii</w:t>
            </w:r>
          </w:p>
        </w:tc>
        <w:tc>
          <w:tcPr>
            <w:tcW w:w="22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84" w:firstLine="0"/>
              <w:jc w:val="left"/>
            </w:pPr>
            <w:r>
              <w:rPr>
                <w:sz w:val="12"/>
              </w:rPr>
              <w:t xml:space="preserve">Sinking Fund </w:t>
            </w:r>
          </w:p>
        </w:tc>
        <w:tc>
          <w:tcPr>
            <w:tcW w:w="67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2"/>
              </w:rPr>
              <w:t xml:space="preserve">        272.90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pPr>
            <w:r>
              <w:rPr>
                <w:sz w:val="12"/>
              </w:rPr>
              <w:t xml:space="preserve">       113.71 </w:t>
            </w: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 w:firstLine="0"/>
            </w:pPr>
            <w:r>
              <w:rPr>
                <w:sz w:val="12"/>
              </w:rPr>
              <w:t xml:space="preserve">       376.53 </w:t>
            </w:r>
          </w:p>
        </w:tc>
        <w:tc>
          <w:tcPr>
            <w:tcW w:w="64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rPr>
                <w:sz w:val="12"/>
              </w:rPr>
              <w:t xml:space="preserve">     (262.82)</w:t>
            </w:r>
          </w:p>
        </w:tc>
        <w:tc>
          <w:tcPr>
            <w:tcW w:w="492" w:type="dxa"/>
            <w:tcBorders>
              <w:top w:val="single" w:sz="4" w:space="0" w:color="000000"/>
              <w:left w:val="single" w:sz="4" w:space="0" w:color="000000"/>
              <w:bottom w:val="single" w:sz="4" w:space="0" w:color="000000"/>
              <w:right w:val="single" w:sz="3" w:space="0" w:color="000000"/>
            </w:tcBorders>
          </w:tcPr>
          <w:p w:rsidR="001C682A" w:rsidRDefault="00B03C38">
            <w:pPr>
              <w:spacing w:after="0" w:line="259" w:lineRule="auto"/>
              <w:ind w:left="72" w:firstLine="0"/>
              <w:jc w:val="left"/>
            </w:pPr>
            <w:r>
              <w:rPr>
                <w:sz w:val="12"/>
              </w:rPr>
              <w:t>231.1%</w:t>
            </w:r>
          </w:p>
        </w:tc>
      </w:tr>
      <w:tr w:rsidR="001C682A">
        <w:trPr>
          <w:trHeight w:val="164"/>
        </w:trPr>
        <w:tc>
          <w:tcPr>
            <w:tcW w:w="28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17" w:firstLine="0"/>
              <w:jc w:val="right"/>
            </w:pPr>
            <w:r>
              <w:rPr>
                <w:sz w:val="12"/>
              </w:rPr>
              <w:t>iv</w:t>
            </w:r>
          </w:p>
        </w:tc>
        <w:tc>
          <w:tcPr>
            <w:tcW w:w="22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184" w:firstLine="0"/>
              <w:jc w:val="left"/>
            </w:pPr>
            <w:r>
              <w:rPr>
                <w:sz w:val="12"/>
              </w:rPr>
              <w:t>Interest on Ways &amp; Means</w:t>
            </w:r>
          </w:p>
        </w:tc>
        <w:tc>
          <w:tcPr>
            <w:tcW w:w="676" w:type="dxa"/>
            <w:tcBorders>
              <w:top w:val="single" w:sz="4"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63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rPr>
                <w:sz w:val="12"/>
              </w:rPr>
              <w:t xml:space="preserve">              -   </w:t>
            </w:r>
          </w:p>
        </w:tc>
        <w:tc>
          <w:tcPr>
            <w:tcW w:w="635" w:type="dxa"/>
            <w:tcBorders>
              <w:top w:val="single" w:sz="4" w:space="0" w:color="000000"/>
              <w:left w:val="single" w:sz="4" w:space="0" w:color="000000"/>
              <w:bottom w:val="single" w:sz="4" w:space="0" w:color="000000"/>
              <w:right w:val="single" w:sz="4" w:space="0" w:color="000000"/>
            </w:tcBorders>
          </w:tcPr>
          <w:p w:rsidR="001C682A" w:rsidRDefault="001C682A">
            <w:pPr>
              <w:spacing w:after="160" w:line="259" w:lineRule="auto"/>
              <w:ind w:left="0" w:firstLine="0"/>
              <w:jc w:val="left"/>
            </w:pPr>
          </w:p>
        </w:tc>
        <w:tc>
          <w:tcPr>
            <w:tcW w:w="64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pPr>
            <w:r>
              <w:rPr>
                <w:sz w:val="12"/>
              </w:rPr>
              <w:t xml:space="preserve">               -   </w:t>
            </w:r>
          </w:p>
        </w:tc>
        <w:tc>
          <w:tcPr>
            <w:tcW w:w="492" w:type="dxa"/>
            <w:tcBorders>
              <w:top w:val="single" w:sz="4" w:space="0" w:color="000000"/>
              <w:left w:val="single" w:sz="4" w:space="0" w:color="000000"/>
              <w:bottom w:val="single" w:sz="4" w:space="0" w:color="000000"/>
              <w:right w:val="single" w:sz="3" w:space="0" w:color="000000"/>
            </w:tcBorders>
          </w:tcPr>
          <w:p w:rsidR="001C682A" w:rsidRDefault="001C682A">
            <w:pPr>
              <w:spacing w:after="160" w:line="259" w:lineRule="auto"/>
              <w:ind w:left="0" w:firstLine="0"/>
              <w:jc w:val="left"/>
            </w:pPr>
          </w:p>
        </w:tc>
      </w:tr>
      <w:tr w:rsidR="001C682A">
        <w:trPr>
          <w:trHeight w:val="166"/>
        </w:trPr>
        <w:tc>
          <w:tcPr>
            <w:tcW w:w="285" w:type="dxa"/>
            <w:tcBorders>
              <w:top w:val="single" w:sz="4" w:space="0" w:color="000000"/>
              <w:left w:val="single" w:sz="4" w:space="0" w:color="000000"/>
              <w:bottom w:val="single" w:sz="6" w:space="0" w:color="000000"/>
              <w:right w:val="single" w:sz="4" w:space="0" w:color="000000"/>
            </w:tcBorders>
          </w:tcPr>
          <w:p w:rsidR="001C682A" w:rsidRDefault="00B03C38">
            <w:pPr>
              <w:spacing w:after="0" w:line="259" w:lineRule="auto"/>
              <w:ind w:left="0" w:right="12" w:firstLine="0"/>
              <w:jc w:val="right"/>
            </w:pPr>
            <w:r>
              <w:rPr>
                <w:b/>
                <w:sz w:val="12"/>
              </w:rPr>
              <w:t>C</w:t>
            </w:r>
          </w:p>
        </w:tc>
        <w:tc>
          <w:tcPr>
            <w:tcW w:w="2232" w:type="dxa"/>
            <w:tcBorders>
              <w:top w:val="single" w:sz="4" w:space="0" w:color="000000"/>
              <w:left w:val="single" w:sz="4" w:space="0" w:color="000000"/>
              <w:bottom w:val="single" w:sz="6" w:space="0" w:color="000000"/>
              <w:right w:val="single" w:sz="4" w:space="0" w:color="000000"/>
            </w:tcBorders>
          </w:tcPr>
          <w:p w:rsidR="001C682A" w:rsidRDefault="00B03C38">
            <w:pPr>
              <w:spacing w:after="0" w:line="259" w:lineRule="auto"/>
              <w:ind w:left="0" w:firstLine="0"/>
              <w:jc w:val="left"/>
            </w:pPr>
            <w:r>
              <w:rPr>
                <w:b/>
                <w:sz w:val="12"/>
              </w:rPr>
              <w:t>Capital Expenditure</w:t>
            </w:r>
          </w:p>
        </w:tc>
        <w:tc>
          <w:tcPr>
            <w:tcW w:w="676" w:type="dxa"/>
            <w:tcBorders>
              <w:top w:val="single" w:sz="4" w:space="0" w:color="000000"/>
              <w:left w:val="single" w:sz="4" w:space="0" w:color="000000"/>
              <w:bottom w:val="single" w:sz="6" w:space="0" w:color="000000"/>
              <w:right w:val="single" w:sz="4" w:space="0" w:color="000000"/>
            </w:tcBorders>
          </w:tcPr>
          <w:p w:rsidR="001C682A" w:rsidRDefault="00B03C38">
            <w:pPr>
              <w:spacing w:after="0" w:line="259" w:lineRule="auto"/>
              <w:ind w:left="1" w:firstLine="0"/>
            </w:pPr>
            <w:r>
              <w:rPr>
                <w:b/>
                <w:sz w:val="12"/>
              </w:rPr>
              <w:t xml:space="preserve">     1,960.07 </w:t>
            </w:r>
          </w:p>
        </w:tc>
        <w:tc>
          <w:tcPr>
            <w:tcW w:w="635" w:type="dxa"/>
            <w:tcBorders>
              <w:top w:val="single" w:sz="4" w:space="0" w:color="000000"/>
              <w:left w:val="single" w:sz="4" w:space="0" w:color="000000"/>
              <w:bottom w:val="single" w:sz="6" w:space="0" w:color="000000"/>
              <w:right w:val="single" w:sz="4" w:space="0" w:color="000000"/>
            </w:tcBorders>
          </w:tcPr>
          <w:p w:rsidR="001C682A" w:rsidRDefault="00B03C38">
            <w:pPr>
              <w:spacing w:after="0" w:line="259" w:lineRule="auto"/>
              <w:ind w:left="0" w:firstLine="0"/>
            </w:pPr>
            <w:r>
              <w:rPr>
                <w:b/>
                <w:sz w:val="12"/>
              </w:rPr>
              <w:t xml:space="preserve">       816.70 </w:t>
            </w:r>
          </w:p>
        </w:tc>
        <w:tc>
          <w:tcPr>
            <w:tcW w:w="635" w:type="dxa"/>
            <w:tcBorders>
              <w:top w:val="single" w:sz="4" w:space="0" w:color="000000"/>
              <w:left w:val="single" w:sz="4" w:space="0" w:color="000000"/>
              <w:bottom w:val="single" w:sz="6" w:space="0" w:color="000000"/>
              <w:right w:val="single" w:sz="4" w:space="0" w:color="000000"/>
            </w:tcBorders>
          </w:tcPr>
          <w:p w:rsidR="001C682A" w:rsidRDefault="00B03C38">
            <w:pPr>
              <w:spacing w:after="0" w:line="259" w:lineRule="auto"/>
              <w:ind w:left="1" w:firstLine="0"/>
            </w:pPr>
            <w:r>
              <w:rPr>
                <w:b/>
                <w:sz w:val="12"/>
              </w:rPr>
              <w:t xml:space="preserve">       378.85 </w:t>
            </w:r>
          </w:p>
        </w:tc>
        <w:tc>
          <w:tcPr>
            <w:tcW w:w="645" w:type="dxa"/>
            <w:tcBorders>
              <w:top w:val="single" w:sz="4" w:space="0" w:color="000000"/>
              <w:left w:val="single" w:sz="4" w:space="0" w:color="000000"/>
              <w:bottom w:val="single" w:sz="6" w:space="0" w:color="000000"/>
              <w:right w:val="single" w:sz="4" w:space="0" w:color="000000"/>
            </w:tcBorders>
          </w:tcPr>
          <w:p w:rsidR="001C682A" w:rsidRDefault="00B03C38">
            <w:pPr>
              <w:spacing w:after="0" w:line="259" w:lineRule="auto"/>
              <w:ind w:left="0" w:firstLine="0"/>
            </w:pPr>
            <w:r>
              <w:rPr>
                <w:b/>
                <w:sz w:val="12"/>
              </w:rPr>
              <w:t xml:space="preserve">       437.85 </w:t>
            </w:r>
          </w:p>
        </w:tc>
        <w:tc>
          <w:tcPr>
            <w:tcW w:w="492" w:type="dxa"/>
            <w:tcBorders>
              <w:top w:val="single" w:sz="4" w:space="0" w:color="000000"/>
              <w:left w:val="single" w:sz="4" w:space="0" w:color="000000"/>
              <w:bottom w:val="single" w:sz="6" w:space="0" w:color="000000"/>
              <w:right w:val="single" w:sz="3" w:space="0" w:color="000000"/>
            </w:tcBorders>
          </w:tcPr>
          <w:p w:rsidR="001C682A" w:rsidRDefault="00B03C38">
            <w:pPr>
              <w:spacing w:after="0" w:line="259" w:lineRule="auto"/>
              <w:ind w:left="92" w:firstLine="0"/>
              <w:jc w:val="left"/>
            </w:pPr>
            <w:r>
              <w:rPr>
                <w:b/>
                <w:sz w:val="12"/>
              </w:rPr>
              <w:t>-53.6%</w:t>
            </w:r>
          </w:p>
        </w:tc>
      </w:tr>
    </w:tbl>
    <w:p w:rsidR="001C682A" w:rsidRDefault="00B03C38">
      <w:pPr>
        <w:ind w:left="236" w:right="816"/>
      </w:pPr>
      <w:r>
        <w:t xml:space="preserve">On the expenditure side, N9.97 trillion was appropriated, while N3.98 trillion (representing 95.7% of the prorate, N4.16 trillion) was spent. Of the expenditure, N1.58 trillion was for debt service, and N1.32 trillion for Personnel cost and Pensions. As at end of May 2020, only N378.85 billion has been released for capital.  </w:t>
      </w:r>
    </w:p>
    <w:p w:rsidR="001C682A" w:rsidRDefault="00B03C38">
      <w:pPr>
        <w:spacing w:after="0" w:line="259" w:lineRule="auto"/>
        <w:ind w:left="218" w:right="759" w:firstLine="0"/>
        <w:jc w:val="left"/>
      </w:pPr>
      <w:r>
        <w:rPr>
          <w:rFonts w:ascii="Franklin Gothic Book" w:eastAsia="Franklin Gothic Book" w:hAnsi="Franklin Gothic Book" w:cs="Franklin Gothic Book"/>
          <w:sz w:val="24"/>
        </w:rPr>
        <w:t xml:space="preserve"> </w:t>
      </w:r>
    </w:p>
    <w:p w:rsidR="001C682A" w:rsidRDefault="00B03C38">
      <w:pPr>
        <w:spacing w:after="0" w:line="259" w:lineRule="auto"/>
        <w:ind w:left="218" w:right="759" w:firstLine="0"/>
        <w:jc w:val="left"/>
      </w:pPr>
      <w:r>
        <w:rPr>
          <w:rFonts w:ascii="Franklin Gothic Book" w:eastAsia="Franklin Gothic Book" w:hAnsi="Franklin Gothic Book" w:cs="Franklin Gothic Book"/>
          <w:sz w:val="24"/>
        </w:rPr>
        <w:t xml:space="preserve"> </w:t>
      </w:r>
    </w:p>
    <w:p w:rsidR="001C682A" w:rsidRDefault="00B03C38">
      <w:pPr>
        <w:spacing w:after="0" w:line="259" w:lineRule="auto"/>
        <w:ind w:left="218" w:right="759" w:firstLine="0"/>
        <w:jc w:val="left"/>
      </w:pPr>
      <w:r>
        <w:rPr>
          <w:sz w:val="24"/>
        </w:rPr>
        <w:t xml:space="preserve"> </w:t>
      </w:r>
      <w:r>
        <w:rPr>
          <w:sz w:val="24"/>
        </w:rPr>
        <w:tab/>
      </w:r>
      <w:r>
        <w:rPr>
          <w:rFonts w:ascii="Franklin Gothic Book" w:eastAsia="Franklin Gothic Book" w:hAnsi="Franklin Gothic Book" w:cs="Franklin Gothic Book"/>
          <w:sz w:val="24"/>
        </w:rPr>
        <w:t xml:space="preserve"> </w:t>
      </w:r>
    </w:p>
    <w:p w:rsidR="001C682A" w:rsidRDefault="00B03C38">
      <w:pPr>
        <w:pStyle w:val="Heading2"/>
        <w:ind w:left="911" w:right="704" w:hanging="708"/>
      </w:pPr>
      <w:bookmarkStart w:id="40" w:name="_Toc389392"/>
      <w:r>
        <w:t xml:space="preserve">5.0 </w:t>
      </w:r>
      <w:r>
        <w:tab/>
        <w:t xml:space="preserve">ASSUMPTIONS UNDERLYING OIL AND NON-OIL REVENUE PROJECTIONS IN 2021 - 2023 </w:t>
      </w:r>
      <w:bookmarkEnd w:id="40"/>
    </w:p>
    <w:p w:rsidR="001C682A" w:rsidRDefault="00B03C38">
      <w:pPr>
        <w:spacing w:after="435" w:line="259" w:lineRule="auto"/>
        <w:ind w:left="190" w:firstLine="0"/>
        <w:jc w:val="left"/>
      </w:pPr>
      <w:r>
        <w:rPr>
          <w:rFonts w:ascii="Calibri" w:eastAsia="Calibri" w:hAnsi="Calibri" w:cs="Calibri"/>
          <w:noProof/>
        </w:rPr>
        <mc:AlternateContent>
          <mc:Choice Requires="wpg">
            <w:drawing>
              <wp:inline distT="0" distB="0" distL="0" distR="0">
                <wp:extent cx="5764658" cy="18288"/>
                <wp:effectExtent l="0" t="0" r="0" b="0"/>
                <wp:docPr id="327046" name="Group 327046"/>
                <wp:cNvGraphicFramePr/>
                <a:graphic xmlns:a="http://schemas.openxmlformats.org/drawingml/2006/main">
                  <a:graphicData uri="http://schemas.microsoft.com/office/word/2010/wordprocessingGroup">
                    <wpg:wgp>
                      <wpg:cNvGrpSpPr/>
                      <wpg:grpSpPr>
                        <a:xfrm>
                          <a:off x="0" y="0"/>
                          <a:ext cx="5764658" cy="18288"/>
                          <a:chOff x="0" y="0"/>
                          <a:chExt cx="5764658" cy="18288"/>
                        </a:xfrm>
                      </wpg:grpSpPr>
                      <wps:wsp>
                        <wps:cNvPr id="395749" name="Shape 395749"/>
                        <wps:cNvSpPr/>
                        <wps:spPr>
                          <a:xfrm>
                            <a:off x="0" y="0"/>
                            <a:ext cx="5764658" cy="18288"/>
                          </a:xfrm>
                          <a:custGeom>
                            <a:avLst/>
                            <a:gdLst/>
                            <a:ahLst/>
                            <a:cxnLst/>
                            <a:rect l="0" t="0" r="0" b="0"/>
                            <a:pathLst>
                              <a:path w="5764658" h="18288">
                                <a:moveTo>
                                  <a:pt x="0" y="0"/>
                                </a:moveTo>
                                <a:lnTo>
                                  <a:pt x="5764658" y="0"/>
                                </a:lnTo>
                                <a:lnTo>
                                  <a:pt x="5764658" y="18288"/>
                                </a:lnTo>
                                <a:lnTo>
                                  <a:pt x="0" y="1828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27046" style="width:453.91pt;height:1.44pt;mso-position-horizontal-relative:char;mso-position-vertical-relative:line" coordsize="57646,182">
                <v:shape id="Shape 395750" style="position:absolute;width:57646;height:182;left:0;top:0;" coordsize="5764658,18288" path="m0,0l5764658,0l5764658,18288l0,18288l0,0">
                  <v:stroke weight="0pt" endcap="flat" joinstyle="miter" miterlimit="10" on="false" color="#000000" opacity="0"/>
                  <v:fill on="true" color="#000080"/>
                </v:shape>
              </v:group>
            </w:pict>
          </mc:Fallback>
        </mc:AlternateContent>
      </w:r>
    </w:p>
    <w:p w:rsidR="001C682A" w:rsidRDefault="00B03C38">
      <w:pPr>
        <w:pStyle w:val="Heading3"/>
        <w:tabs>
          <w:tab w:val="center" w:pos="413"/>
          <w:tab w:val="center" w:pos="3429"/>
        </w:tabs>
        <w:ind w:left="0" w:firstLine="0"/>
      </w:pPr>
      <w:bookmarkStart w:id="41" w:name="_Toc389393"/>
      <w:r>
        <w:rPr>
          <w:rFonts w:ascii="Calibri" w:eastAsia="Calibri" w:hAnsi="Calibri" w:cs="Calibri"/>
          <w:color w:val="000000"/>
          <w:sz w:val="22"/>
        </w:rPr>
        <w:tab/>
      </w:r>
      <w:r>
        <w:t xml:space="preserve">5.1 </w:t>
      </w:r>
      <w:r>
        <w:tab/>
        <w:t xml:space="preserve">Assumptions Underlying Oil Revenues </w:t>
      </w:r>
      <w:bookmarkEnd w:id="41"/>
    </w:p>
    <w:p w:rsidR="001C682A" w:rsidRDefault="00B03C38">
      <w:pPr>
        <w:spacing w:after="228"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27047" name="Group 327047"/>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751" name="Shape 395751"/>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27047" style="width:453.91pt;height:0.47998pt;mso-position-horizontal-relative:char;mso-position-vertical-relative:line" coordsize="57646,60">
                <v:shape id="Shape 395752"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pStyle w:val="Heading4"/>
        <w:tabs>
          <w:tab w:val="center" w:pos="460"/>
          <w:tab w:val="center" w:pos="2497"/>
        </w:tabs>
        <w:spacing w:after="164" w:line="259" w:lineRule="auto"/>
        <w:ind w:left="0" w:firstLine="0"/>
      </w:pPr>
      <w:bookmarkStart w:id="42" w:name="_Toc389394"/>
      <w:r>
        <w:rPr>
          <w:rFonts w:ascii="Calibri" w:eastAsia="Calibri" w:hAnsi="Calibri" w:cs="Calibri"/>
          <w:color w:val="000000"/>
          <w:sz w:val="22"/>
        </w:rPr>
        <w:tab/>
      </w:r>
      <w:r>
        <w:rPr>
          <w:rFonts w:ascii="Calibri" w:eastAsia="Calibri" w:hAnsi="Calibri" w:cs="Calibri"/>
          <w:color w:val="1F3763"/>
          <w:sz w:val="24"/>
        </w:rPr>
        <w:t xml:space="preserve">5.1.1 </w:t>
      </w:r>
      <w:r>
        <w:rPr>
          <w:rFonts w:ascii="Calibri" w:eastAsia="Calibri" w:hAnsi="Calibri" w:cs="Calibri"/>
          <w:color w:val="1F3763"/>
          <w:sz w:val="24"/>
        </w:rPr>
        <w:tab/>
        <w:t xml:space="preserve">Crude Oil Production and Export  </w:t>
      </w:r>
      <w:bookmarkEnd w:id="42"/>
    </w:p>
    <w:p w:rsidR="001C682A" w:rsidRDefault="00B03C38">
      <w:pPr>
        <w:spacing w:after="173"/>
        <w:ind w:left="236" w:right="816"/>
      </w:pPr>
      <w:r>
        <w:t>Crude oil output continues to have important implications for government revenues in Nigeria. In the first quarter of 2020, crude oil production accounted for 9.5% of Nigeria’s real GDP. However, crude oil receipts constituted about 50% of federal government’s revenues during the same period and about 90%</w:t>
      </w:r>
      <w:r>
        <w:rPr>
          <w:color w:val="FF0000"/>
        </w:rPr>
        <w:t xml:space="preserve"> </w:t>
      </w:r>
      <w:r>
        <w:t xml:space="preserve">of Nigeria’s foreign exchange earnings.  </w:t>
      </w:r>
    </w:p>
    <w:p w:rsidR="001C682A" w:rsidRDefault="00B03C38">
      <w:pPr>
        <w:spacing w:after="173"/>
        <w:ind w:left="236" w:right="816"/>
      </w:pPr>
      <w:r>
        <w:t>As Figure 5.1 shows, actual daily crude oil production has mostly been below budget projections since 2013 until recently. Average daily production declined from 2.47 million barrels per day (</w:t>
      </w:r>
      <w:proofErr w:type="spellStart"/>
      <w:r>
        <w:t>mbpd</w:t>
      </w:r>
      <w:proofErr w:type="spellEnd"/>
      <w:r>
        <w:t>) in 2010 to 1.81mbpd in 2016. Although Nigeria’s total production capacity is 2.5mbpd, about 1.4mbpd of crude is currently being produced in compliance with the OPEC+ production quota and</w:t>
      </w:r>
      <w:r>
        <w:rPr>
          <w:color w:val="232323"/>
        </w:rPr>
        <w:t xml:space="preserve"> an additional 300,000</w:t>
      </w:r>
      <w:r>
        <w:t xml:space="preserve">bpd of condensates. Between January and May 2020, 1.88mbpd of crude oil was produced on average, not counting about 127,000 bpd of production devoted to repayment of pre-2105 Joint Venture cash call arrears. </w:t>
      </w:r>
    </w:p>
    <w:p w:rsidR="001C682A" w:rsidRDefault="00B03C38">
      <w:pPr>
        <w:ind w:left="236" w:right="816"/>
      </w:pPr>
      <w:r>
        <w:t xml:space="preserve">According to NNPC, total crude oil production in Nigeria decreased in January 2020 by 1.32 million barrels or 2.22% at 60.80 million barrels with daily average of 1.96 </w:t>
      </w:r>
      <w:proofErr w:type="spellStart"/>
      <w:r>
        <w:t>mbpd</w:t>
      </w:r>
      <w:proofErr w:type="spellEnd"/>
      <w:r>
        <w:t xml:space="preserve">. Production was disrupted by shutdown of </w:t>
      </w:r>
      <w:proofErr w:type="spellStart"/>
      <w:r>
        <w:t>Forcados</w:t>
      </w:r>
      <w:proofErr w:type="spellEnd"/>
      <w:r>
        <w:t xml:space="preserve"> for repairs while Bonny was shut down due to pipeline leakages. Production was also interrupted due to lube oil loss, pump issues, loss of power, </w:t>
      </w:r>
    </w:p>
    <w:p w:rsidR="001C682A" w:rsidRDefault="00B03C38">
      <w:pPr>
        <w:spacing w:after="195"/>
        <w:ind w:left="236" w:right="816"/>
      </w:pPr>
      <w:r>
        <w:rPr>
          <w:noProof/>
        </w:rPr>
        <w:lastRenderedPageBreak/>
        <w:drawing>
          <wp:anchor distT="0" distB="0" distL="114300" distR="114300" simplePos="0" relativeHeight="251668480" behindDoc="0" locked="0" layoutInCell="1" allowOverlap="0">
            <wp:simplePos x="0" y="0"/>
            <wp:positionH relativeFrom="column">
              <wp:posOffset>138379</wp:posOffset>
            </wp:positionH>
            <wp:positionV relativeFrom="paragraph">
              <wp:posOffset>207914</wp:posOffset>
            </wp:positionV>
            <wp:extent cx="2959100" cy="2082800"/>
            <wp:effectExtent l="0" t="0" r="0" b="0"/>
            <wp:wrapSquare wrapText="bothSides"/>
            <wp:docPr id="19366" name="Picture 19366"/>
            <wp:cNvGraphicFramePr/>
            <a:graphic xmlns:a="http://schemas.openxmlformats.org/drawingml/2006/main">
              <a:graphicData uri="http://schemas.openxmlformats.org/drawingml/2006/picture">
                <pic:pic xmlns:pic="http://schemas.openxmlformats.org/drawingml/2006/picture">
                  <pic:nvPicPr>
                    <pic:cNvPr id="19366" name="Picture 19366"/>
                    <pic:cNvPicPr/>
                  </pic:nvPicPr>
                  <pic:blipFill>
                    <a:blip r:embed="rId28"/>
                    <a:stretch>
                      <a:fillRect/>
                    </a:stretch>
                  </pic:blipFill>
                  <pic:spPr>
                    <a:xfrm>
                      <a:off x="0" y="0"/>
                      <a:ext cx="2959100" cy="2082800"/>
                    </a:xfrm>
                    <a:prstGeom prst="rect">
                      <a:avLst/>
                    </a:prstGeom>
                  </pic:spPr>
                </pic:pic>
              </a:graphicData>
            </a:graphic>
          </wp:anchor>
        </w:drawing>
      </w:r>
      <w:r>
        <w:t xml:space="preserve">riser protector replacement, pipeline repairs and flare management. </w:t>
      </w:r>
    </w:p>
    <w:p w:rsidR="001C682A" w:rsidRDefault="00B03C38">
      <w:pPr>
        <w:spacing w:after="26" w:line="273" w:lineRule="auto"/>
        <w:ind w:left="228" w:right="815"/>
      </w:pPr>
      <w:r>
        <w:t xml:space="preserve">As reported by NNPC, </w:t>
      </w:r>
      <w:r>
        <w:rPr>
          <w:rFonts w:ascii="Franklin Gothic Book" w:eastAsia="Franklin Gothic Book" w:hAnsi="Franklin Gothic Book" w:cs="Franklin Gothic Book"/>
          <w:sz w:val="23"/>
        </w:rPr>
        <w:t xml:space="preserve">60 pipeline points were vandalized in January 2020 alone. This represents about 50% increase from the 40 points vandalized in December 2019. </w:t>
      </w:r>
      <w:r>
        <w:t xml:space="preserve">The incidence of vandalism has continued to undermine expected crude oil revenues. </w:t>
      </w:r>
    </w:p>
    <w:p w:rsidR="001C682A" w:rsidRDefault="00B03C38">
      <w:pPr>
        <w:spacing w:after="163" w:line="273" w:lineRule="auto"/>
        <w:ind w:left="228" w:right="815"/>
      </w:pPr>
      <w:r>
        <w:t xml:space="preserve">Hence, </w:t>
      </w:r>
      <w:r>
        <w:rPr>
          <w:rFonts w:ascii="Franklin Gothic Book" w:eastAsia="Franklin Gothic Book" w:hAnsi="Franklin Gothic Book" w:cs="Franklin Gothic Book"/>
          <w:sz w:val="23"/>
        </w:rPr>
        <w:t xml:space="preserve">NNPC in collaboration with the local communities and other stakeholders continuously strive to reduce and eventually eliminate it. </w:t>
      </w:r>
      <w:r>
        <w:t xml:space="preserve"> </w:t>
      </w:r>
    </w:p>
    <w:p w:rsidR="001C682A" w:rsidRDefault="00B03C38">
      <w:pPr>
        <w:spacing w:after="210"/>
        <w:ind w:left="236" w:right="816"/>
      </w:pPr>
      <w:r>
        <w:t xml:space="preserve">Considering the fact that crude oil production has averaged 1.97mbpd over the last 3 years, a very conservative oil output benchmark has been adopted for the medium term in order to ensure greater budget realism. Therefore, following consultations with stakeholders, crude oil production is estimated at 1.86mbpd, 2.09mbpd, 2.38mbpd in 2021, 2022 and 2023 respectively.  </w:t>
      </w:r>
    </w:p>
    <w:p w:rsidR="001C682A" w:rsidRDefault="00B03C38">
      <w:pPr>
        <w:pStyle w:val="Heading4"/>
        <w:tabs>
          <w:tab w:val="center" w:pos="460"/>
          <w:tab w:val="center" w:pos="2716"/>
        </w:tabs>
        <w:spacing w:after="164" w:line="259" w:lineRule="auto"/>
        <w:ind w:left="0" w:firstLine="0"/>
      </w:pPr>
      <w:bookmarkStart w:id="43" w:name="_Toc389395"/>
      <w:r>
        <w:rPr>
          <w:rFonts w:ascii="Calibri" w:eastAsia="Calibri" w:hAnsi="Calibri" w:cs="Calibri"/>
          <w:color w:val="000000"/>
          <w:sz w:val="22"/>
        </w:rPr>
        <w:tab/>
      </w:r>
      <w:r>
        <w:rPr>
          <w:rFonts w:ascii="Calibri" w:eastAsia="Calibri" w:hAnsi="Calibri" w:cs="Calibri"/>
          <w:color w:val="1F3763"/>
          <w:sz w:val="24"/>
        </w:rPr>
        <w:t xml:space="preserve">5.1.2 </w:t>
      </w:r>
      <w:r>
        <w:rPr>
          <w:rFonts w:ascii="Calibri" w:eastAsia="Calibri" w:hAnsi="Calibri" w:cs="Calibri"/>
          <w:color w:val="1F3763"/>
          <w:sz w:val="24"/>
        </w:rPr>
        <w:tab/>
        <w:t xml:space="preserve">Global Crude Oil Supply and Demand </w:t>
      </w:r>
      <w:bookmarkEnd w:id="43"/>
    </w:p>
    <w:p w:rsidR="001C682A" w:rsidRDefault="00B03C38">
      <w:pPr>
        <w:spacing w:after="184"/>
        <w:ind w:left="236" w:right="816"/>
      </w:pPr>
      <w:r>
        <w:t>Global crude oil demand is expected to continue growing at relatively healthy rates in the medium-term. The Organization of Petroleum Exporting Countries (OPEC) forecasts demand to reach 104.8 million barrels a day (</w:t>
      </w:r>
      <w:proofErr w:type="spellStart"/>
      <w:r>
        <w:t>mbpd</w:t>
      </w:r>
      <w:proofErr w:type="spellEnd"/>
      <w:r>
        <w:t xml:space="preserve">) by 2024. This represents an increase of 6.1 </w:t>
      </w:r>
      <w:proofErr w:type="spellStart"/>
      <w:r>
        <w:t>mbpd</w:t>
      </w:r>
      <w:proofErr w:type="spellEnd"/>
      <w:r>
        <w:t xml:space="preserve"> above the 2018 level. The average growth will be about 1 </w:t>
      </w:r>
      <w:proofErr w:type="spellStart"/>
      <w:r>
        <w:t>mbpd</w:t>
      </w:r>
      <w:proofErr w:type="spellEnd"/>
      <w:r>
        <w:t xml:space="preserve"> over the medium-term period, declining from a projected 1.1 </w:t>
      </w:r>
      <w:proofErr w:type="spellStart"/>
      <w:r>
        <w:t>mbpd</w:t>
      </w:r>
      <w:proofErr w:type="spellEnd"/>
      <w:r>
        <w:t xml:space="preserve"> in 2019 to 0.9 </w:t>
      </w:r>
      <w:proofErr w:type="spellStart"/>
      <w:r>
        <w:t>mbpd</w:t>
      </w:r>
      <w:proofErr w:type="spellEnd"/>
      <w:r>
        <w:t xml:space="preserve"> in 2024. Incremental demand is forecast to come primarily from non-OECD countries.  </w:t>
      </w:r>
    </w:p>
    <w:p w:rsidR="001C682A" w:rsidRDefault="00B03C38">
      <w:pPr>
        <w:ind w:left="236" w:right="816"/>
      </w:pPr>
      <w:r>
        <w:rPr>
          <w:noProof/>
        </w:rPr>
        <w:drawing>
          <wp:anchor distT="0" distB="0" distL="114300" distR="114300" simplePos="0" relativeHeight="251669504" behindDoc="0" locked="0" layoutInCell="1" allowOverlap="0">
            <wp:simplePos x="0" y="0"/>
            <wp:positionH relativeFrom="column">
              <wp:posOffset>138379</wp:posOffset>
            </wp:positionH>
            <wp:positionV relativeFrom="paragraph">
              <wp:posOffset>27320</wp:posOffset>
            </wp:positionV>
            <wp:extent cx="2984500" cy="1930400"/>
            <wp:effectExtent l="0" t="0" r="0" b="0"/>
            <wp:wrapSquare wrapText="bothSides"/>
            <wp:docPr id="20126" name="Picture 20126"/>
            <wp:cNvGraphicFramePr/>
            <a:graphic xmlns:a="http://schemas.openxmlformats.org/drawingml/2006/main">
              <a:graphicData uri="http://schemas.openxmlformats.org/drawingml/2006/picture">
                <pic:pic xmlns:pic="http://schemas.openxmlformats.org/drawingml/2006/picture">
                  <pic:nvPicPr>
                    <pic:cNvPr id="20126" name="Picture 20126"/>
                    <pic:cNvPicPr/>
                  </pic:nvPicPr>
                  <pic:blipFill>
                    <a:blip r:embed="rId29"/>
                    <a:stretch>
                      <a:fillRect/>
                    </a:stretch>
                  </pic:blipFill>
                  <pic:spPr>
                    <a:xfrm>
                      <a:off x="0" y="0"/>
                      <a:ext cx="2984500" cy="1930400"/>
                    </a:xfrm>
                    <a:prstGeom prst="rect">
                      <a:avLst/>
                    </a:prstGeom>
                  </pic:spPr>
                </pic:pic>
              </a:graphicData>
            </a:graphic>
          </wp:anchor>
        </w:drawing>
      </w:r>
      <w:r>
        <w:t xml:space="preserve">However, OPEC estimates a steady rise in global oil supply from an average of 99.4mbpd in 2019 to 101.3mbpd in 2020, </w:t>
      </w:r>
    </w:p>
    <w:p w:rsidR="001C682A" w:rsidRDefault="00B03C38">
      <w:pPr>
        <w:spacing w:after="183"/>
        <w:ind w:left="236" w:right="816"/>
      </w:pPr>
      <w:r>
        <w:t xml:space="preserve">102.3mbpd in 2021 and 105.0mbpd in 2024 (Fig. 5.2).  According to OPEC, the main driver of medium-term non-OPEC supply growth remains overwhelmingly US tight oil, but Brazil, Norway, Canada, Guyana and Kazakhstan will also likely contribute.  </w:t>
      </w:r>
    </w:p>
    <w:p w:rsidR="001C682A" w:rsidRDefault="00B03C38">
      <w:pPr>
        <w:ind w:left="236" w:right="816"/>
      </w:pPr>
      <w:r>
        <w:t xml:space="preserve">The recent sharp decline in crude oil prices in the international market is due to both </w:t>
      </w:r>
    </w:p>
    <w:p w:rsidR="001C682A" w:rsidRDefault="00B03C38">
      <w:pPr>
        <w:spacing w:after="183"/>
        <w:ind w:left="236" w:right="816"/>
      </w:pPr>
      <w:r>
        <w:rPr>
          <w:noProof/>
        </w:rPr>
        <w:lastRenderedPageBreak/>
        <w:drawing>
          <wp:anchor distT="0" distB="0" distL="114300" distR="114300" simplePos="0" relativeHeight="251670528" behindDoc="0" locked="0" layoutInCell="1" allowOverlap="0">
            <wp:simplePos x="0" y="0"/>
            <wp:positionH relativeFrom="column">
              <wp:posOffset>2945079</wp:posOffset>
            </wp:positionH>
            <wp:positionV relativeFrom="paragraph">
              <wp:posOffset>670702</wp:posOffset>
            </wp:positionV>
            <wp:extent cx="2921000" cy="2146300"/>
            <wp:effectExtent l="0" t="0" r="0" b="0"/>
            <wp:wrapSquare wrapText="bothSides"/>
            <wp:docPr id="20128" name="Picture 20128"/>
            <wp:cNvGraphicFramePr/>
            <a:graphic xmlns:a="http://schemas.openxmlformats.org/drawingml/2006/main">
              <a:graphicData uri="http://schemas.openxmlformats.org/drawingml/2006/picture">
                <pic:pic xmlns:pic="http://schemas.openxmlformats.org/drawingml/2006/picture">
                  <pic:nvPicPr>
                    <pic:cNvPr id="20128" name="Picture 20128"/>
                    <pic:cNvPicPr/>
                  </pic:nvPicPr>
                  <pic:blipFill>
                    <a:blip r:embed="rId30"/>
                    <a:stretch>
                      <a:fillRect/>
                    </a:stretch>
                  </pic:blipFill>
                  <pic:spPr>
                    <a:xfrm>
                      <a:off x="0" y="0"/>
                      <a:ext cx="2921000" cy="2146300"/>
                    </a:xfrm>
                    <a:prstGeom prst="rect">
                      <a:avLst/>
                    </a:prstGeom>
                  </pic:spPr>
                </pic:pic>
              </a:graphicData>
            </a:graphic>
          </wp:anchor>
        </w:drawing>
      </w:r>
      <w:r>
        <w:t xml:space="preserve">global demand shocks and market concerns over crude oil oversupply. The COVID-19 pandemic severely affected the demand for transportation and industrial fuels worldwide. Nevertheless, demand is projected to normalize in the medium term. Hence, global supply of crude oil is projected to outstrip demand slightly by 0.3mbpd over the period 20202023. </w:t>
      </w:r>
    </w:p>
    <w:p w:rsidR="001C682A" w:rsidRDefault="00B03C38">
      <w:pPr>
        <w:spacing w:after="210"/>
        <w:ind w:left="236" w:right="816"/>
      </w:pPr>
      <w:r>
        <w:t xml:space="preserve">Energy Information Administration reported a sharp increase in unplanned crude oil supply disruptions from 22.1mbpd in 2018 to 37.5mbpd in 2019. However, unplanned supply disruptions declined significantly to 21.3mbpd between January and May 2020. As Figure 5.3 shows, over 90% of unplanned crude oil supply disruptions occur in OPEC member countries. </w:t>
      </w:r>
    </w:p>
    <w:p w:rsidR="001C682A" w:rsidRDefault="00B03C38">
      <w:pPr>
        <w:pStyle w:val="Heading4"/>
        <w:tabs>
          <w:tab w:val="center" w:pos="460"/>
          <w:tab w:val="center" w:pos="2226"/>
        </w:tabs>
        <w:spacing w:after="164" w:line="259" w:lineRule="auto"/>
        <w:ind w:left="0" w:firstLine="0"/>
      </w:pPr>
      <w:bookmarkStart w:id="44" w:name="_Toc389396"/>
      <w:r>
        <w:rPr>
          <w:rFonts w:ascii="Calibri" w:eastAsia="Calibri" w:hAnsi="Calibri" w:cs="Calibri"/>
          <w:color w:val="000000"/>
          <w:sz w:val="22"/>
        </w:rPr>
        <w:tab/>
      </w:r>
      <w:r>
        <w:rPr>
          <w:rFonts w:ascii="Calibri" w:eastAsia="Calibri" w:hAnsi="Calibri" w:cs="Calibri"/>
          <w:color w:val="1F3763"/>
          <w:sz w:val="24"/>
        </w:rPr>
        <w:t xml:space="preserve">5.1.3 </w:t>
      </w:r>
      <w:r>
        <w:rPr>
          <w:rFonts w:ascii="Calibri" w:eastAsia="Calibri" w:hAnsi="Calibri" w:cs="Calibri"/>
          <w:color w:val="1F3763"/>
          <w:sz w:val="24"/>
        </w:rPr>
        <w:tab/>
        <w:t xml:space="preserve">Crude Oil Price Benchmark </w:t>
      </w:r>
      <w:bookmarkEnd w:id="44"/>
    </w:p>
    <w:p w:rsidR="001C682A" w:rsidRDefault="00B03C38">
      <w:pPr>
        <w:ind w:left="236" w:right="816"/>
      </w:pPr>
      <w:r>
        <w:t xml:space="preserve">Crude oil prices collapsed recently in the world oil market due to various measures introduced to contain the COVID-19 Pandemic. Cargoes traded for as low as US$7.15 a barrel on </w:t>
      </w:r>
    </w:p>
    <w:p w:rsidR="001C682A" w:rsidRDefault="00B03C38">
      <w:pPr>
        <w:spacing w:after="170"/>
        <w:ind w:left="5104" w:right="816" w:hanging="4878"/>
      </w:pPr>
      <w:r>
        <w:rPr>
          <w:noProof/>
        </w:rPr>
        <w:drawing>
          <wp:anchor distT="0" distB="0" distL="114300" distR="114300" simplePos="0" relativeHeight="251671552" behindDoc="0" locked="0" layoutInCell="1" allowOverlap="0">
            <wp:simplePos x="0" y="0"/>
            <wp:positionH relativeFrom="column">
              <wp:posOffset>154889</wp:posOffset>
            </wp:positionH>
            <wp:positionV relativeFrom="paragraph">
              <wp:posOffset>212855</wp:posOffset>
            </wp:positionV>
            <wp:extent cx="3022600" cy="2336800"/>
            <wp:effectExtent l="0" t="0" r="0" b="0"/>
            <wp:wrapSquare wrapText="bothSides"/>
            <wp:docPr id="20130" name="Picture 20130"/>
            <wp:cNvGraphicFramePr/>
            <a:graphic xmlns:a="http://schemas.openxmlformats.org/drawingml/2006/main">
              <a:graphicData uri="http://schemas.openxmlformats.org/drawingml/2006/picture">
                <pic:pic xmlns:pic="http://schemas.openxmlformats.org/drawingml/2006/picture">
                  <pic:nvPicPr>
                    <pic:cNvPr id="20130" name="Picture 20130"/>
                    <pic:cNvPicPr/>
                  </pic:nvPicPr>
                  <pic:blipFill>
                    <a:blip r:embed="rId31"/>
                    <a:stretch>
                      <a:fillRect/>
                    </a:stretch>
                  </pic:blipFill>
                  <pic:spPr>
                    <a:xfrm>
                      <a:off x="0" y="0"/>
                      <a:ext cx="3022600" cy="2336800"/>
                    </a:xfrm>
                    <a:prstGeom prst="rect">
                      <a:avLst/>
                    </a:prstGeom>
                  </pic:spPr>
                </pic:pic>
              </a:graphicData>
            </a:graphic>
          </wp:anchor>
        </w:drawing>
      </w:r>
      <w:r>
        <w:t xml:space="preserve">Tuesday April 21, 2020. Like many crude oil exporting countries, Nigeria faced great difficulty in selling its crude cargoes during this time. As Figure 5.4 shows, Bonny Light crude oil price declined sharply from US$72 per barrel on January 6 2020 to US$56.6 per barrel on February 11, 2020 and an average of US$40.23 per barrel in June 2020.   </w:t>
      </w:r>
    </w:p>
    <w:p w:rsidR="001C682A" w:rsidRDefault="00B03C38">
      <w:pPr>
        <w:ind w:left="236" w:right="816"/>
      </w:pPr>
      <w:r>
        <w:t xml:space="preserve">The sharp decline in oil prices was due to both global demand shocks and market concerns over crude oil oversupply. In addition, the price war between Saudi Arabia and Russia has further exerted downward pressure on crude oil prices.  </w:t>
      </w:r>
    </w:p>
    <w:p w:rsidR="001C682A" w:rsidRDefault="00B03C38">
      <w:pPr>
        <w:spacing w:after="173"/>
        <w:ind w:left="236" w:right="816"/>
      </w:pPr>
      <w:r>
        <w:t xml:space="preserve">Considering the difficulty of predicting oil prices in a globally integrated market, the outlook for world oil price remains highly uncertain. Nonetheless. the outlook indicates prolonged period of low crude oil prices which is not in Nigeria’s favour. The World Bank forecasts that crude oil prices will average US$35 per barrel in 2020, down from an average of US$61.4 per barrel in 2019. In the medium term, the World Bank expects crude oil price to rise gradually from an average of US$42 per barrel in 2021 to US$44.5 per barrel in 2022, rising afterwards to US$47 per barrel in 2023 and $52.7 per barrel in 2025. EIA expects Brent crude oil prices to average US$41 per barrel during the second half of 2020 and US$50 per barrel in 2021, reaching US$53 per barrel by the end of 2021. </w:t>
      </w:r>
    </w:p>
    <w:p w:rsidR="001C682A" w:rsidRDefault="00B03C38">
      <w:pPr>
        <w:spacing w:after="428"/>
        <w:ind w:left="236" w:right="816"/>
      </w:pPr>
      <w:r>
        <w:t xml:space="preserve">In consultation with the Nigerian National Petroleum Corporation (NNPC) and other stakeholders, a benchmark oil price of US$40 per barrel has been proposed for 2021, 2022 and 2023. Recent experience underscores the importance of setting the budget oil price benchmark below the forecasts in order to insulate the budget from the adverse effects of </w:t>
      </w:r>
      <w:r>
        <w:lastRenderedPageBreak/>
        <w:t xml:space="preserve">volatile oil prices. In addition, it is essential to build fiscal buffers which can be used to respond effectively to negative oil price shocks in the medium term. </w:t>
      </w:r>
      <w:r>
        <w:rPr>
          <w:sz w:val="24"/>
        </w:rPr>
        <w:t xml:space="preserve"> </w:t>
      </w:r>
    </w:p>
    <w:p w:rsidR="001C682A" w:rsidRDefault="00B03C38">
      <w:pPr>
        <w:pStyle w:val="Heading3"/>
        <w:tabs>
          <w:tab w:val="center" w:pos="415"/>
          <w:tab w:val="center" w:pos="3573"/>
        </w:tabs>
        <w:spacing w:after="0" w:line="259" w:lineRule="auto"/>
        <w:ind w:left="0" w:firstLine="0"/>
      </w:pPr>
      <w:bookmarkStart w:id="45" w:name="_Toc389397"/>
      <w:r>
        <w:rPr>
          <w:rFonts w:ascii="Calibri" w:eastAsia="Calibri" w:hAnsi="Calibri" w:cs="Calibri"/>
          <w:color w:val="000000"/>
          <w:sz w:val="22"/>
        </w:rPr>
        <w:tab/>
      </w:r>
      <w:r>
        <w:rPr>
          <w:b/>
        </w:rPr>
        <w:t>5.2</w:t>
      </w:r>
      <w:r>
        <w:t xml:space="preserve"> </w:t>
      </w:r>
      <w:r>
        <w:tab/>
      </w:r>
      <w:r>
        <w:rPr>
          <w:b/>
        </w:rPr>
        <w:t>Non-Oil Revenue Baseline Assumptions</w:t>
      </w:r>
      <w:r>
        <w:t xml:space="preserve"> </w:t>
      </w:r>
      <w:bookmarkEnd w:id="45"/>
    </w:p>
    <w:p w:rsidR="001C682A" w:rsidRDefault="00B03C38">
      <w:pPr>
        <w:spacing w:after="187"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28620" name="Group 328620"/>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753" name="Shape 395753"/>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28620" style="width:453.91pt;height:0.47998pt;mso-position-horizontal-relative:char;mso-position-vertical-relative:line" coordsize="57646,60">
                <v:shape id="Shape 395754"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spacing w:after="192"/>
        <w:ind w:left="236" w:right="816"/>
      </w:pPr>
      <w:r>
        <w:t xml:space="preserve">The assumptions underlying the non-oil revenue forecasts for the period 2021-2023 are outlined below. Over the years, Government has increasingly embarked on several non-oil sector reforms in the effort to widen the revenue base and enhance revenue collection. In view of the declining fortunes of the oil and gas sector, improvement in non-oil revenue collection has assumed greater significance for funding the FGN budget in the medium term. In general, non-oil revenue projections for the period are guided by expected growth of the different tax bases, the effective tax rate, and the projected improvement in collection efficiency, taking account of tax administration reforms.  </w:t>
      </w:r>
    </w:p>
    <w:p w:rsidR="001C682A" w:rsidRDefault="00B03C38">
      <w:pPr>
        <w:pStyle w:val="Heading5"/>
        <w:spacing w:after="139" w:line="259" w:lineRule="auto"/>
        <w:ind w:left="213"/>
      </w:pPr>
      <w:bookmarkStart w:id="46" w:name="_Toc389398"/>
      <w:r>
        <w:rPr>
          <w:rFonts w:ascii="Arial" w:eastAsia="Arial" w:hAnsi="Arial" w:cs="Arial"/>
          <w:i/>
          <w:color w:val="2F5496"/>
          <w:sz w:val="24"/>
        </w:rPr>
        <w:t xml:space="preserve">Customs Collections: Import Duties, Excise, Fees and Special Levies </w:t>
      </w:r>
      <w:bookmarkEnd w:id="46"/>
    </w:p>
    <w:p w:rsidR="001C682A" w:rsidRDefault="00B03C38">
      <w:pPr>
        <w:spacing w:after="193"/>
        <w:ind w:left="236" w:right="816"/>
      </w:pPr>
      <w:r>
        <w:t xml:space="preserve">Customs collections are estimated based on the cost, insurance and freight (CIF) value of imports, applicable tariffs, an efficiency factor. The nominal growth of the tax base is assumed to be driven by tax elasticity in the medium term. In view of the lingering effects of COVID-19 on global trade, a less aggressive tax elasticity was assumed to drive the nominal growth of the tax base in the medium term. Other considerations include the new foreign exchange rate regime, introduction of Common External Tariff (CET), implementation of the Africa Continental Free Trade Agreement (ACFTA), gradual removal of Import Adjustment Tax (IAT), expected decrease in annual Average Duty Rate (ADR), expected increase in Import CIF as a result of new strategic plans in Nigerian Customs Service (NCS), and Import Duty on vehicles which has the highest tariff line in terms of revenue generation.  </w:t>
      </w:r>
    </w:p>
    <w:p w:rsidR="001C682A" w:rsidRDefault="00B03C38">
      <w:pPr>
        <w:pStyle w:val="Heading5"/>
        <w:spacing w:after="144" w:line="259" w:lineRule="auto"/>
        <w:ind w:left="213"/>
      </w:pPr>
      <w:bookmarkStart w:id="47" w:name="_Toc389399"/>
      <w:r>
        <w:rPr>
          <w:rFonts w:ascii="Arial" w:eastAsia="Arial" w:hAnsi="Arial" w:cs="Arial"/>
          <w:i/>
          <w:color w:val="2F5496"/>
          <w:sz w:val="24"/>
        </w:rPr>
        <w:t xml:space="preserve">Companies Income Tax (CIT) </w:t>
      </w:r>
      <w:bookmarkEnd w:id="47"/>
    </w:p>
    <w:p w:rsidR="001C682A" w:rsidRDefault="00B03C38">
      <w:pPr>
        <w:ind w:left="236" w:right="816"/>
      </w:pPr>
      <w:r>
        <w:t xml:space="preserve">The projection of CIT is based on estimated nominal GDP, Companies’ Profitability Ratio, and an efficiency factor. Estimates were also derived with due consideration for the effects of COVID-19 on domestic economic activities, efforts aimed at improving the business environment as well as the strategic implementation of the Nigeria Economic Sustainability Plan. Other important assumptions include improved collection efficiency and successful broadening of the tax net. Specifically, a 10% year-on-year improvement in collection efficiency is envisaged. </w:t>
      </w:r>
    </w:p>
    <w:p w:rsidR="001C682A" w:rsidRDefault="00B03C38">
      <w:pPr>
        <w:pStyle w:val="Heading5"/>
        <w:spacing w:after="123" w:line="259" w:lineRule="auto"/>
        <w:ind w:left="213"/>
      </w:pPr>
      <w:bookmarkStart w:id="48" w:name="_Toc389400"/>
      <w:r>
        <w:rPr>
          <w:rFonts w:ascii="Arial" w:eastAsia="Arial" w:hAnsi="Arial" w:cs="Arial"/>
          <w:i/>
          <w:color w:val="2F5496"/>
          <w:sz w:val="24"/>
        </w:rPr>
        <w:t>Value Added Tax (VAT)</w:t>
      </w:r>
      <w:r>
        <w:rPr>
          <w:rFonts w:ascii="Arial" w:eastAsia="Arial" w:hAnsi="Arial" w:cs="Arial"/>
          <w:i/>
          <w:color w:val="2F5496"/>
        </w:rPr>
        <w:t xml:space="preserve"> </w:t>
      </w:r>
      <w:bookmarkEnd w:id="48"/>
    </w:p>
    <w:p w:rsidR="001C682A" w:rsidRDefault="00B03C38">
      <w:pPr>
        <w:spacing w:after="173"/>
        <w:ind w:left="236" w:right="816"/>
      </w:pPr>
      <w:r>
        <w:t xml:space="preserve">This was estimated using projected aggregate nominal consumption, </w:t>
      </w:r>
      <w:proofErr w:type="gramStart"/>
      <w:r>
        <w:t>taking into account</w:t>
      </w:r>
      <w:proofErr w:type="gramEnd"/>
      <w:r>
        <w:t xml:space="preserve"> vatable items and collection efficiency. Aggregate consumption is estimated at N118.89 trillion in 2021 from N117.91 trillion estimated for 2020. Like the CIT, more VAT payers are expected to be brought into the tax net with the effective implementation of the provisions of the Finance Act 2019 and improving collection efficiency. The VAT projections over the medium-term are based on holding the rate at 7.5%.  </w:t>
      </w:r>
    </w:p>
    <w:p w:rsidR="001C682A" w:rsidRDefault="00B03C38">
      <w:pPr>
        <w:spacing w:after="193"/>
        <w:ind w:left="236" w:right="816"/>
      </w:pPr>
      <w:r>
        <w:t xml:space="preserve">Wider coverage and improved collection efficiency will be achieved through continuous nationwide VAT registration and monitoring, as well as the use of technology for auto-collect platforms in more sectors of the economy. In addition, the solution to deduct and remit VAT </w:t>
      </w:r>
      <w:r>
        <w:lastRenderedPageBreak/>
        <w:t xml:space="preserve">and WHT from State government contract payments is to be deployed to all the 36 states. Efforts will be made to increase VAT collection efficiency significantly in the medium term. </w:t>
      </w:r>
    </w:p>
    <w:p w:rsidR="001C682A" w:rsidRDefault="00B03C38">
      <w:pPr>
        <w:pStyle w:val="Heading5"/>
        <w:spacing w:after="165" w:line="259" w:lineRule="auto"/>
        <w:ind w:left="213"/>
      </w:pPr>
      <w:bookmarkStart w:id="49" w:name="_Toc389401"/>
      <w:r>
        <w:rPr>
          <w:rFonts w:ascii="Arial" w:eastAsia="Arial" w:hAnsi="Arial" w:cs="Arial"/>
          <w:i/>
          <w:color w:val="2F5496"/>
          <w:sz w:val="24"/>
        </w:rPr>
        <w:t xml:space="preserve">FGN Independent Revenue  </w:t>
      </w:r>
      <w:bookmarkEnd w:id="49"/>
    </w:p>
    <w:p w:rsidR="001C682A" w:rsidRDefault="00B03C38">
      <w:pPr>
        <w:spacing w:after="403"/>
        <w:ind w:left="236" w:right="816"/>
      </w:pPr>
      <w:r>
        <w:t xml:space="preserve">Government-Owned Enterprises (GOEs) are still characterized by revenue leakages, excessive expenditures and weak accountability. Hence, the estimation of Operating Surpluses (the main component of FGN Independent Revenues) is predicated on strict and effective implementation of recent measures aimed at ensuring that GOEs operate in a more fiscally responsible manner. We believe that if government were to put the reins on fiscal indiscipline among the GOEs, revenues from this source could be considerably higher than projected. </w:t>
      </w:r>
    </w:p>
    <w:p w:rsidR="001C682A" w:rsidRDefault="00B03C38">
      <w:pPr>
        <w:spacing w:after="366" w:line="259" w:lineRule="auto"/>
        <w:ind w:left="218" w:firstLine="0"/>
        <w:jc w:val="left"/>
      </w:pPr>
      <w:r>
        <w:rPr>
          <w:rFonts w:ascii="Franklin Gothic Book" w:eastAsia="Franklin Gothic Book" w:hAnsi="Franklin Gothic Book" w:cs="Franklin Gothic Book"/>
          <w:sz w:val="28"/>
        </w:rPr>
        <w:t xml:space="preserve"> </w:t>
      </w:r>
    </w:p>
    <w:p w:rsidR="001C682A" w:rsidRDefault="00B03C38">
      <w:pPr>
        <w:pStyle w:val="Heading2"/>
        <w:ind w:left="213" w:right="704"/>
      </w:pPr>
      <w:bookmarkStart w:id="50" w:name="_Toc389402"/>
      <w:r>
        <w:t xml:space="preserve">6.0 </w:t>
      </w:r>
      <w:r>
        <w:tab/>
        <w:t xml:space="preserve">MEDIUM TERM MACROECONOMIC FRAMEWORK: PARAMETERS AND TARGETS FOR 2021-2023 </w:t>
      </w:r>
      <w:bookmarkEnd w:id="50"/>
    </w:p>
    <w:p w:rsidR="001C682A" w:rsidRDefault="00B03C38">
      <w:pPr>
        <w:spacing w:after="435" w:line="259" w:lineRule="auto"/>
        <w:ind w:left="190" w:firstLine="0"/>
        <w:jc w:val="left"/>
      </w:pPr>
      <w:r>
        <w:rPr>
          <w:rFonts w:ascii="Calibri" w:eastAsia="Calibri" w:hAnsi="Calibri" w:cs="Calibri"/>
          <w:noProof/>
        </w:rPr>
        <mc:AlternateContent>
          <mc:Choice Requires="wpg">
            <w:drawing>
              <wp:inline distT="0" distB="0" distL="0" distR="0">
                <wp:extent cx="5764658" cy="18288"/>
                <wp:effectExtent l="0" t="0" r="0" b="0"/>
                <wp:docPr id="328494" name="Group 328494"/>
                <wp:cNvGraphicFramePr/>
                <a:graphic xmlns:a="http://schemas.openxmlformats.org/drawingml/2006/main">
                  <a:graphicData uri="http://schemas.microsoft.com/office/word/2010/wordprocessingGroup">
                    <wpg:wgp>
                      <wpg:cNvGrpSpPr/>
                      <wpg:grpSpPr>
                        <a:xfrm>
                          <a:off x="0" y="0"/>
                          <a:ext cx="5764658" cy="18288"/>
                          <a:chOff x="0" y="0"/>
                          <a:chExt cx="5764658" cy="18288"/>
                        </a:xfrm>
                      </wpg:grpSpPr>
                      <wps:wsp>
                        <wps:cNvPr id="395755" name="Shape 395755"/>
                        <wps:cNvSpPr/>
                        <wps:spPr>
                          <a:xfrm>
                            <a:off x="0" y="0"/>
                            <a:ext cx="5764658" cy="18288"/>
                          </a:xfrm>
                          <a:custGeom>
                            <a:avLst/>
                            <a:gdLst/>
                            <a:ahLst/>
                            <a:cxnLst/>
                            <a:rect l="0" t="0" r="0" b="0"/>
                            <a:pathLst>
                              <a:path w="5764658" h="18288">
                                <a:moveTo>
                                  <a:pt x="0" y="0"/>
                                </a:moveTo>
                                <a:lnTo>
                                  <a:pt x="5764658" y="0"/>
                                </a:lnTo>
                                <a:lnTo>
                                  <a:pt x="5764658" y="18288"/>
                                </a:lnTo>
                                <a:lnTo>
                                  <a:pt x="0" y="1828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28494" style="width:453.91pt;height:1.44pt;mso-position-horizontal-relative:char;mso-position-vertical-relative:line" coordsize="57646,182">
                <v:shape id="Shape 395756" style="position:absolute;width:57646;height:182;left:0;top:0;" coordsize="5764658,18288" path="m0,0l5764658,0l5764658,18288l0,18288l0,0">
                  <v:stroke weight="0pt" endcap="flat" joinstyle="miter" miterlimit="10" on="false" color="#000000" opacity="0"/>
                  <v:fill on="true" color="#000080"/>
                </v:shape>
              </v:group>
            </w:pict>
          </mc:Fallback>
        </mc:AlternateContent>
      </w:r>
    </w:p>
    <w:p w:rsidR="001C682A" w:rsidRDefault="00B03C38">
      <w:pPr>
        <w:pStyle w:val="Heading3"/>
        <w:tabs>
          <w:tab w:val="center" w:pos="415"/>
          <w:tab w:val="center" w:pos="2845"/>
        </w:tabs>
        <w:spacing w:after="0" w:line="259" w:lineRule="auto"/>
        <w:ind w:left="0" w:firstLine="0"/>
      </w:pPr>
      <w:bookmarkStart w:id="51" w:name="_Toc389403"/>
      <w:r>
        <w:rPr>
          <w:rFonts w:ascii="Calibri" w:eastAsia="Calibri" w:hAnsi="Calibri" w:cs="Calibri"/>
          <w:color w:val="000000"/>
          <w:sz w:val="22"/>
        </w:rPr>
        <w:tab/>
      </w:r>
      <w:r>
        <w:rPr>
          <w:b/>
        </w:rPr>
        <w:t xml:space="preserve">6.1 </w:t>
      </w:r>
      <w:r>
        <w:rPr>
          <w:b/>
        </w:rPr>
        <w:tab/>
        <w:t xml:space="preserve">Macroeconomic Projections </w:t>
      </w:r>
      <w:bookmarkEnd w:id="51"/>
    </w:p>
    <w:p w:rsidR="001C682A" w:rsidRDefault="00B03C38">
      <w:pPr>
        <w:spacing w:after="187"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28495" name="Group 328495"/>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757" name="Shape 395757"/>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28495" style="width:453.91pt;height:0.47998pt;mso-position-horizontal-relative:char;mso-position-vertical-relative:line" coordsize="57646,60">
                <v:shape id="Shape 395758"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spacing w:after="149"/>
        <w:ind w:left="236" w:right="816"/>
      </w:pPr>
      <w:r>
        <w:t xml:space="preserve">Since the recent revision of the 2020-2022 medium term fiscal framework, the key parameters as well as other macroeconomic projections driving the medium-term revenue and expenditure framework have been further revised in line with emerging realities. The new figures are presented in the table below. </w:t>
      </w:r>
    </w:p>
    <w:p w:rsidR="001C682A" w:rsidRDefault="00B03C38">
      <w:pPr>
        <w:spacing w:after="0" w:line="259" w:lineRule="auto"/>
        <w:ind w:left="213"/>
        <w:jc w:val="left"/>
      </w:pPr>
      <w:bookmarkStart w:id="52" w:name="_Hlk49583372"/>
      <w:r>
        <w:rPr>
          <w:rFonts w:ascii="Franklin Gothic Book" w:eastAsia="Franklin Gothic Book" w:hAnsi="Franklin Gothic Book" w:cs="Franklin Gothic Book"/>
          <w:sz w:val="20"/>
        </w:rPr>
        <w:t xml:space="preserve">Table 6.1: Key Parameters and other Macroeconomic Projections </w:t>
      </w:r>
    </w:p>
    <w:tbl>
      <w:tblPr>
        <w:tblStyle w:val="TableGrid"/>
        <w:tblW w:w="8996" w:type="dxa"/>
        <w:tblInd w:w="226" w:type="dxa"/>
        <w:tblCellMar>
          <w:top w:w="52" w:type="dxa"/>
          <w:left w:w="36" w:type="dxa"/>
          <w:right w:w="38" w:type="dxa"/>
        </w:tblCellMar>
        <w:tblLook w:val="04A0" w:firstRow="1" w:lastRow="0" w:firstColumn="1" w:lastColumn="0" w:noHBand="0" w:noVBand="1"/>
      </w:tblPr>
      <w:tblGrid>
        <w:gridCol w:w="2783"/>
        <w:gridCol w:w="1232"/>
        <w:gridCol w:w="1231"/>
        <w:gridCol w:w="1253"/>
        <w:gridCol w:w="1221"/>
        <w:gridCol w:w="1276"/>
      </w:tblGrid>
      <w:tr w:rsidR="001C682A">
        <w:trPr>
          <w:trHeight w:val="514"/>
        </w:trPr>
        <w:tc>
          <w:tcPr>
            <w:tcW w:w="2783" w:type="dxa"/>
            <w:tcBorders>
              <w:top w:val="single" w:sz="4" w:space="0" w:color="C00000"/>
              <w:left w:val="single" w:sz="4" w:space="0" w:color="FFFFFF"/>
              <w:bottom w:val="single" w:sz="8" w:space="0" w:color="C00000"/>
              <w:right w:val="single" w:sz="4" w:space="0" w:color="FFFFFF"/>
            </w:tcBorders>
            <w:shd w:val="clear" w:color="auto" w:fill="203764"/>
            <w:vAlign w:val="center"/>
          </w:tcPr>
          <w:p w:rsidR="001C682A" w:rsidRDefault="00B03C38">
            <w:pPr>
              <w:spacing w:after="0" w:line="259" w:lineRule="auto"/>
              <w:ind w:left="11" w:firstLine="0"/>
              <w:jc w:val="center"/>
            </w:pPr>
            <w:r>
              <w:rPr>
                <w:rFonts w:ascii="Cambria" w:eastAsia="Cambria" w:hAnsi="Cambria" w:cs="Cambria"/>
                <w:b/>
                <w:color w:val="FFFFFF"/>
                <w:sz w:val="20"/>
              </w:rPr>
              <w:t>Description</w:t>
            </w:r>
          </w:p>
        </w:tc>
        <w:tc>
          <w:tcPr>
            <w:tcW w:w="1232" w:type="dxa"/>
            <w:tcBorders>
              <w:top w:val="single" w:sz="4" w:space="0" w:color="C00000"/>
              <w:left w:val="single" w:sz="4" w:space="0" w:color="FFFFFF"/>
              <w:bottom w:val="single" w:sz="8" w:space="0" w:color="C00000"/>
              <w:right w:val="single" w:sz="4" w:space="0" w:color="FFFFFF"/>
            </w:tcBorders>
            <w:shd w:val="clear" w:color="auto" w:fill="203764"/>
            <w:vAlign w:val="center"/>
          </w:tcPr>
          <w:p w:rsidR="001C682A" w:rsidRDefault="00B03C38">
            <w:pPr>
              <w:spacing w:after="0" w:line="259" w:lineRule="auto"/>
              <w:ind w:left="34" w:firstLine="0"/>
            </w:pPr>
            <w:r>
              <w:rPr>
                <w:rFonts w:ascii="Cambria" w:eastAsia="Cambria" w:hAnsi="Cambria" w:cs="Cambria"/>
                <w:b/>
                <w:color w:val="FFFFFF"/>
                <w:sz w:val="18"/>
              </w:rPr>
              <w:t>2019 Actual</w:t>
            </w:r>
          </w:p>
        </w:tc>
        <w:tc>
          <w:tcPr>
            <w:tcW w:w="1231" w:type="dxa"/>
            <w:tcBorders>
              <w:top w:val="single" w:sz="4" w:space="0" w:color="C00000"/>
              <w:left w:val="single" w:sz="4" w:space="0" w:color="FFFFFF"/>
              <w:bottom w:val="single" w:sz="8" w:space="0" w:color="C00000"/>
              <w:right w:val="single" w:sz="4" w:space="0" w:color="FFFFFF"/>
            </w:tcBorders>
            <w:shd w:val="clear" w:color="auto" w:fill="203764"/>
          </w:tcPr>
          <w:p w:rsidR="001C682A" w:rsidRDefault="00B03C38">
            <w:pPr>
              <w:spacing w:after="0" w:line="259" w:lineRule="auto"/>
              <w:ind w:left="0" w:right="3" w:firstLine="0"/>
              <w:jc w:val="center"/>
            </w:pPr>
            <w:r>
              <w:rPr>
                <w:rFonts w:ascii="Cambria" w:eastAsia="Cambria" w:hAnsi="Cambria" w:cs="Cambria"/>
                <w:b/>
                <w:color w:val="FFFFFF"/>
                <w:sz w:val="18"/>
              </w:rPr>
              <w:t xml:space="preserve">2020  </w:t>
            </w:r>
          </w:p>
          <w:p w:rsidR="001C682A" w:rsidRDefault="00B03C38">
            <w:pPr>
              <w:spacing w:after="0" w:line="259" w:lineRule="auto"/>
              <w:ind w:left="0" w:right="4" w:firstLine="0"/>
              <w:jc w:val="center"/>
            </w:pPr>
            <w:r>
              <w:rPr>
                <w:rFonts w:ascii="Cambria" w:eastAsia="Cambria" w:hAnsi="Cambria" w:cs="Cambria"/>
                <w:b/>
                <w:color w:val="FFFFFF"/>
                <w:sz w:val="18"/>
              </w:rPr>
              <w:t>Budget</w:t>
            </w:r>
          </w:p>
        </w:tc>
        <w:tc>
          <w:tcPr>
            <w:tcW w:w="1253" w:type="dxa"/>
            <w:tcBorders>
              <w:top w:val="single" w:sz="4" w:space="0" w:color="C00000"/>
              <w:left w:val="single" w:sz="4" w:space="0" w:color="FFFFFF"/>
              <w:bottom w:val="single" w:sz="8" w:space="0" w:color="C00000"/>
              <w:right w:val="single" w:sz="4" w:space="0" w:color="FFFFFF"/>
            </w:tcBorders>
            <w:shd w:val="clear" w:color="auto" w:fill="203764"/>
            <w:vAlign w:val="center"/>
          </w:tcPr>
          <w:p w:rsidR="001C682A" w:rsidRDefault="00B03C38">
            <w:pPr>
              <w:spacing w:after="0" w:line="259" w:lineRule="auto"/>
              <w:ind w:left="0" w:right="2" w:firstLine="0"/>
              <w:jc w:val="center"/>
            </w:pPr>
            <w:r>
              <w:rPr>
                <w:rFonts w:ascii="Cambria" w:eastAsia="Cambria" w:hAnsi="Cambria" w:cs="Cambria"/>
                <w:b/>
                <w:color w:val="FFFFFF"/>
                <w:sz w:val="18"/>
              </w:rPr>
              <w:t>2021</w:t>
            </w:r>
          </w:p>
        </w:tc>
        <w:tc>
          <w:tcPr>
            <w:tcW w:w="1221" w:type="dxa"/>
            <w:tcBorders>
              <w:top w:val="single" w:sz="4" w:space="0" w:color="C00000"/>
              <w:left w:val="single" w:sz="4" w:space="0" w:color="FFFFFF"/>
              <w:bottom w:val="single" w:sz="8" w:space="0" w:color="C00000"/>
              <w:right w:val="single" w:sz="4" w:space="0" w:color="FFFFFF"/>
            </w:tcBorders>
            <w:shd w:val="clear" w:color="auto" w:fill="203764"/>
            <w:vAlign w:val="center"/>
          </w:tcPr>
          <w:p w:rsidR="001C682A" w:rsidRDefault="00B03C38">
            <w:pPr>
              <w:spacing w:after="0" w:line="259" w:lineRule="auto"/>
              <w:ind w:left="0" w:right="13" w:firstLine="0"/>
              <w:jc w:val="center"/>
            </w:pPr>
            <w:r>
              <w:rPr>
                <w:rFonts w:ascii="Cambria" w:eastAsia="Cambria" w:hAnsi="Cambria" w:cs="Cambria"/>
                <w:b/>
                <w:color w:val="FFFFFF"/>
                <w:sz w:val="18"/>
              </w:rPr>
              <w:t>2022</w:t>
            </w:r>
          </w:p>
        </w:tc>
        <w:tc>
          <w:tcPr>
            <w:tcW w:w="1276" w:type="dxa"/>
            <w:tcBorders>
              <w:top w:val="single" w:sz="4" w:space="0" w:color="C00000"/>
              <w:left w:val="single" w:sz="4" w:space="0" w:color="FFFFFF"/>
              <w:bottom w:val="single" w:sz="8" w:space="0" w:color="C00000"/>
              <w:right w:val="single" w:sz="4" w:space="0" w:color="FFFFFF"/>
            </w:tcBorders>
            <w:shd w:val="clear" w:color="auto" w:fill="203764"/>
            <w:vAlign w:val="center"/>
          </w:tcPr>
          <w:p w:rsidR="001C682A" w:rsidRDefault="00B03C38">
            <w:pPr>
              <w:spacing w:after="0" w:line="259" w:lineRule="auto"/>
              <w:ind w:left="0" w:right="3" w:firstLine="0"/>
              <w:jc w:val="center"/>
            </w:pPr>
            <w:r>
              <w:rPr>
                <w:rFonts w:ascii="Cambria" w:eastAsia="Cambria" w:hAnsi="Cambria" w:cs="Cambria"/>
                <w:b/>
                <w:color w:val="FFFFFF"/>
                <w:sz w:val="18"/>
              </w:rPr>
              <w:t>2023</w:t>
            </w:r>
          </w:p>
        </w:tc>
      </w:tr>
      <w:tr w:rsidR="001C682A">
        <w:trPr>
          <w:trHeight w:val="248"/>
        </w:trPr>
        <w:tc>
          <w:tcPr>
            <w:tcW w:w="2783" w:type="dxa"/>
            <w:tcBorders>
              <w:top w:val="single" w:sz="8" w:space="0" w:color="C00000"/>
              <w:left w:val="single" w:sz="4" w:space="0" w:color="FFFFFF"/>
              <w:bottom w:val="single" w:sz="4" w:space="0" w:color="FFFFFF"/>
              <w:right w:val="single" w:sz="4" w:space="0" w:color="FFFFFF"/>
            </w:tcBorders>
            <w:shd w:val="clear" w:color="auto" w:fill="EDEDED"/>
          </w:tcPr>
          <w:p w:rsidR="001C682A" w:rsidRDefault="00B03C38">
            <w:pPr>
              <w:spacing w:after="0" w:line="259" w:lineRule="auto"/>
              <w:ind w:left="0" w:firstLine="0"/>
              <w:jc w:val="left"/>
            </w:pPr>
            <w:r>
              <w:rPr>
                <w:rFonts w:ascii="Cambria" w:eastAsia="Cambria" w:hAnsi="Cambria" w:cs="Cambria"/>
                <w:sz w:val="18"/>
              </w:rPr>
              <w:t>Oil Price Benchmark (US$/b)</w:t>
            </w:r>
          </w:p>
        </w:tc>
        <w:tc>
          <w:tcPr>
            <w:tcW w:w="1232" w:type="dxa"/>
            <w:tcBorders>
              <w:top w:val="single" w:sz="8" w:space="0" w:color="C00000"/>
              <w:left w:val="single" w:sz="4" w:space="0" w:color="FFFFFF"/>
              <w:bottom w:val="single" w:sz="4" w:space="0" w:color="FFFFFF"/>
              <w:right w:val="single" w:sz="4" w:space="0" w:color="FFFFFF"/>
            </w:tcBorders>
            <w:shd w:val="clear" w:color="auto" w:fill="EDEDED"/>
          </w:tcPr>
          <w:p w:rsidR="001C682A" w:rsidRDefault="00B03C38">
            <w:pPr>
              <w:spacing w:after="0" w:line="259" w:lineRule="auto"/>
              <w:ind w:left="1" w:firstLine="0"/>
              <w:jc w:val="center"/>
            </w:pPr>
            <w:r>
              <w:rPr>
                <w:rFonts w:ascii="Cambria" w:eastAsia="Cambria" w:hAnsi="Cambria" w:cs="Cambria"/>
                <w:sz w:val="18"/>
              </w:rPr>
              <w:t xml:space="preserve">                67.2</w:t>
            </w:r>
          </w:p>
        </w:tc>
        <w:tc>
          <w:tcPr>
            <w:tcW w:w="1231" w:type="dxa"/>
            <w:tcBorders>
              <w:top w:val="single" w:sz="8" w:space="0" w:color="C00000"/>
              <w:left w:val="single" w:sz="4" w:space="0" w:color="FFFFFF"/>
              <w:bottom w:val="single" w:sz="4" w:space="0" w:color="FFFFFF"/>
              <w:right w:val="single" w:sz="4" w:space="0" w:color="FFFFFF"/>
            </w:tcBorders>
            <w:shd w:val="clear" w:color="auto" w:fill="EDEDED"/>
          </w:tcPr>
          <w:p w:rsidR="001C682A" w:rsidRDefault="00B03C38">
            <w:pPr>
              <w:spacing w:after="0" w:line="259" w:lineRule="auto"/>
              <w:ind w:left="1" w:firstLine="0"/>
              <w:jc w:val="center"/>
            </w:pPr>
            <w:r>
              <w:rPr>
                <w:rFonts w:ascii="Cambria" w:eastAsia="Cambria" w:hAnsi="Cambria" w:cs="Cambria"/>
                <w:sz w:val="18"/>
              </w:rPr>
              <w:t xml:space="preserve">                28.0</w:t>
            </w:r>
          </w:p>
        </w:tc>
        <w:tc>
          <w:tcPr>
            <w:tcW w:w="1253" w:type="dxa"/>
            <w:tcBorders>
              <w:top w:val="single" w:sz="8" w:space="0" w:color="C00000"/>
              <w:left w:val="single" w:sz="4" w:space="0" w:color="FFFFFF"/>
              <w:bottom w:val="single" w:sz="4" w:space="0" w:color="FFFFFF"/>
              <w:right w:val="single" w:sz="4" w:space="0" w:color="FFFFFF"/>
            </w:tcBorders>
            <w:shd w:val="clear" w:color="auto" w:fill="EDEDED"/>
          </w:tcPr>
          <w:p w:rsidR="001C682A" w:rsidRDefault="00B03C38">
            <w:pPr>
              <w:spacing w:after="0" w:line="259" w:lineRule="auto"/>
              <w:ind w:left="1" w:firstLine="0"/>
              <w:jc w:val="center"/>
            </w:pPr>
            <w:r>
              <w:rPr>
                <w:rFonts w:ascii="Cambria" w:eastAsia="Cambria" w:hAnsi="Cambria" w:cs="Cambria"/>
                <w:sz w:val="18"/>
              </w:rPr>
              <w:t xml:space="preserve">                40.0</w:t>
            </w:r>
          </w:p>
        </w:tc>
        <w:tc>
          <w:tcPr>
            <w:tcW w:w="1221" w:type="dxa"/>
            <w:tcBorders>
              <w:top w:val="single" w:sz="8" w:space="0" w:color="C00000"/>
              <w:left w:val="single" w:sz="4" w:space="0" w:color="FFFFFF"/>
              <w:bottom w:val="single" w:sz="4" w:space="0" w:color="FFFFFF"/>
              <w:right w:val="single" w:sz="4" w:space="0" w:color="FFFFFF"/>
            </w:tcBorders>
            <w:shd w:val="clear" w:color="auto" w:fill="EDEDED"/>
          </w:tcPr>
          <w:p w:rsidR="001C682A" w:rsidRDefault="00B03C38">
            <w:pPr>
              <w:spacing w:after="0" w:line="259" w:lineRule="auto"/>
              <w:ind w:left="1" w:firstLine="0"/>
              <w:jc w:val="center"/>
            </w:pPr>
            <w:r>
              <w:rPr>
                <w:rFonts w:ascii="Cambria" w:eastAsia="Cambria" w:hAnsi="Cambria" w:cs="Cambria"/>
                <w:sz w:val="18"/>
              </w:rPr>
              <w:t xml:space="preserve">               40.0</w:t>
            </w:r>
          </w:p>
        </w:tc>
        <w:tc>
          <w:tcPr>
            <w:tcW w:w="1276" w:type="dxa"/>
            <w:tcBorders>
              <w:top w:val="single" w:sz="8" w:space="0" w:color="C00000"/>
              <w:left w:val="single" w:sz="4" w:space="0" w:color="FFFFFF"/>
              <w:bottom w:val="single" w:sz="4" w:space="0" w:color="FFFFFF"/>
              <w:right w:val="single" w:sz="4" w:space="0" w:color="FFFFFF"/>
            </w:tcBorders>
            <w:shd w:val="clear" w:color="auto" w:fill="EDEDED"/>
          </w:tcPr>
          <w:p w:rsidR="001C682A" w:rsidRDefault="00B03C38">
            <w:pPr>
              <w:spacing w:after="0" w:line="259" w:lineRule="auto"/>
              <w:ind w:left="0" w:firstLine="0"/>
              <w:jc w:val="center"/>
            </w:pPr>
            <w:r>
              <w:rPr>
                <w:rFonts w:ascii="Cambria" w:eastAsia="Cambria" w:hAnsi="Cambria" w:cs="Cambria"/>
                <w:sz w:val="18"/>
              </w:rPr>
              <w:t xml:space="preserve">                 40.0</w:t>
            </w:r>
          </w:p>
        </w:tc>
      </w:tr>
      <w:tr w:rsidR="001C682A">
        <w:trPr>
          <w:trHeight w:val="241"/>
        </w:trPr>
        <w:tc>
          <w:tcPr>
            <w:tcW w:w="2783" w:type="dxa"/>
            <w:tcBorders>
              <w:top w:val="single" w:sz="4" w:space="0" w:color="FFFFFF"/>
              <w:left w:val="single" w:sz="4" w:space="0" w:color="FFFFFF"/>
              <w:bottom w:val="single" w:sz="4" w:space="0" w:color="FFFFFF"/>
              <w:right w:val="single" w:sz="4" w:space="0" w:color="FFFFFF"/>
            </w:tcBorders>
          </w:tcPr>
          <w:p w:rsidR="001C682A" w:rsidRDefault="00B03C38">
            <w:pPr>
              <w:spacing w:after="0" w:line="259" w:lineRule="auto"/>
              <w:ind w:left="0" w:firstLine="0"/>
              <w:jc w:val="left"/>
            </w:pPr>
            <w:r>
              <w:rPr>
                <w:rFonts w:ascii="Cambria" w:eastAsia="Cambria" w:hAnsi="Cambria" w:cs="Cambria"/>
                <w:sz w:val="18"/>
              </w:rPr>
              <w:t>Oil Production (</w:t>
            </w:r>
            <w:proofErr w:type="spellStart"/>
            <w:r>
              <w:rPr>
                <w:rFonts w:ascii="Cambria" w:eastAsia="Cambria" w:hAnsi="Cambria" w:cs="Cambria"/>
                <w:sz w:val="18"/>
              </w:rPr>
              <w:t>mbpd</w:t>
            </w:r>
            <w:proofErr w:type="spellEnd"/>
            <w:r>
              <w:rPr>
                <w:rFonts w:ascii="Cambria" w:eastAsia="Cambria" w:hAnsi="Cambria" w:cs="Cambria"/>
                <w:sz w:val="18"/>
              </w:rPr>
              <w:t>)*</w:t>
            </w:r>
          </w:p>
        </w:tc>
        <w:tc>
          <w:tcPr>
            <w:tcW w:w="1232" w:type="dxa"/>
            <w:tcBorders>
              <w:top w:val="single" w:sz="4" w:space="0" w:color="FFFFFF"/>
              <w:left w:val="single" w:sz="4" w:space="0" w:color="FFFFFF"/>
              <w:bottom w:val="single" w:sz="4" w:space="0" w:color="FFFFFF"/>
              <w:right w:val="single" w:sz="4" w:space="0" w:color="FFFFFF"/>
            </w:tcBorders>
          </w:tcPr>
          <w:p w:rsidR="001C682A" w:rsidRDefault="00B03C38">
            <w:pPr>
              <w:spacing w:after="0" w:line="259" w:lineRule="auto"/>
              <w:ind w:left="1" w:firstLine="0"/>
              <w:jc w:val="center"/>
            </w:pPr>
            <w:r>
              <w:rPr>
                <w:rFonts w:ascii="Cambria" w:eastAsia="Cambria" w:hAnsi="Cambria" w:cs="Cambria"/>
                <w:sz w:val="18"/>
              </w:rPr>
              <w:t xml:space="preserve">                1.96</w:t>
            </w:r>
          </w:p>
        </w:tc>
        <w:tc>
          <w:tcPr>
            <w:tcW w:w="1231" w:type="dxa"/>
            <w:tcBorders>
              <w:top w:val="single" w:sz="4" w:space="0" w:color="FFFFFF"/>
              <w:left w:val="single" w:sz="4" w:space="0" w:color="FFFFFF"/>
              <w:bottom w:val="single" w:sz="4" w:space="0" w:color="FFFFFF"/>
              <w:right w:val="single" w:sz="4" w:space="0" w:color="FFFFFF"/>
            </w:tcBorders>
          </w:tcPr>
          <w:p w:rsidR="001C682A" w:rsidRDefault="00B03C38">
            <w:pPr>
              <w:spacing w:after="0" w:line="259" w:lineRule="auto"/>
              <w:ind w:left="1" w:firstLine="0"/>
              <w:jc w:val="center"/>
            </w:pPr>
            <w:r>
              <w:rPr>
                <w:rFonts w:ascii="Cambria" w:eastAsia="Cambria" w:hAnsi="Cambria" w:cs="Cambria"/>
                <w:sz w:val="18"/>
              </w:rPr>
              <w:t xml:space="preserve">                1.80</w:t>
            </w:r>
          </w:p>
        </w:tc>
        <w:tc>
          <w:tcPr>
            <w:tcW w:w="1253" w:type="dxa"/>
            <w:tcBorders>
              <w:top w:val="single" w:sz="4" w:space="0" w:color="FFFFFF"/>
              <w:left w:val="single" w:sz="4" w:space="0" w:color="FFFFFF"/>
              <w:bottom w:val="single" w:sz="4" w:space="0" w:color="FFFFFF"/>
              <w:right w:val="single" w:sz="4" w:space="0" w:color="FFFFFF"/>
            </w:tcBorders>
          </w:tcPr>
          <w:p w:rsidR="001C682A" w:rsidRDefault="00B03C38">
            <w:pPr>
              <w:spacing w:after="0" w:line="259" w:lineRule="auto"/>
              <w:ind w:left="1" w:firstLine="0"/>
              <w:jc w:val="center"/>
            </w:pPr>
            <w:r>
              <w:rPr>
                <w:rFonts w:ascii="Cambria" w:eastAsia="Cambria" w:hAnsi="Cambria" w:cs="Cambria"/>
                <w:sz w:val="18"/>
              </w:rPr>
              <w:t xml:space="preserve">                1.86</w:t>
            </w:r>
          </w:p>
        </w:tc>
        <w:tc>
          <w:tcPr>
            <w:tcW w:w="1221" w:type="dxa"/>
            <w:tcBorders>
              <w:top w:val="single" w:sz="4" w:space="0" w:color="FFFFFF"/>
              <w:left w:val="single" w:sz="4" w:space="0" w:color="FFFFFF"/>
              <w:bottom w:val="single" w:sz="4" w:space="0" w:color="FFFFFF"/>
              <w:right w:val="single" w:sz="4" w:space="0" w:color="FFFFFF"/>
            </w:tcBorders>
          </w:tcPr>
          <w:p w:rsidR="001C682A" w:rsidRDefault="00B03C38">
            <w:pPr>
              <w:spacing w:after="0" w:line="259" w:lineRule="auto"/>
              <w:ind w:left="1" w:firstLine="0"/>
              <w:jc w:val="center"/>
            </w:pPr>
            <w:r>
              <w:rPr>
                <w:rFonts w:ascii="Cambria" w:eastAsia="Cambria" w:hAnsi="Cambria" w:cs="Cambria"/>
                <w:sz w:val="18"/>
              </w:rPr>
              <w:t xml:space="preserve">               2.09</w:t>
            </w:r>
          </w:p>
        </w:tc>
        <w:tc>
          <w:tcPr>
            <w:tcW w:w="1276" w:type="dxa"/>
            <w:tcBorders>
              <w:top w:val="single" w:sz="4" w:space="0" w:color="FFFFFF"/>
              <w:left w:val="single" w:sz="4" w:space="0" w:color="FFFFFF"/>
              <w:bottom w:val="single" w:sz="4" w:space="0" w:color="FFFFFF"/>
              <w:right w:val="single" w:sz="4" w:space="0" w:color="FFFFFF"/>
            </w:tcBorders>
          </w:tcPr>
          <w:p w:rsidR="001C682A" w:rsidRDefault="00B03C38">
            <w:pPr>
              <w:spacing w:after="0" w:line="259" w:lineRule="auto"/>
              <w:ind w:left="0" w:firstLine="0"/>
              <w:jc w:val="center"/>
            </w:pPr>
            <w:r>
              <w:rPr>
                <w:rFonts w:ascii="Cambria" w:eastAsia="Cambria" w:hAnsi="Cambria" w:cs="Cambria"/>
                <w:sz w:val="18"/>
              </w:rPr>
              <w:t xml:space="preserve">                 2.38</w:t>
            </w:r>
          </w:p>
        </w:tc>
      </w:tr>
      <w:tr w:rsidR="001C682A">
        <w:trPr>
          <w:trHeight w:val="246"/>
        </w:trPr>
        <w:tc>
          <w:tcPr>
            <w:tcW w:w="2783" w:type="dxa"/>
            <w:tcBorders>
              <w:top w:val="single" w:sz="4" w:space="0" w:color="FFFFFF"/>
              <w:left w:val="single" w:sz="4" w:space="0" w:color="FFFFFF"/>
              <w:bottom w:val="single" w:sz="4" w:space="0" w:color="FFFFFF"/>
              <w:right w:val="single" w:sz="4" w:space="0" w:color="FFFFFF"/>
            </w:tcBorders>
            <w:shd w:val="clear" w:color="auto" w:fill="EDEDED"/>
          </w:tcPr>
          <w:p w:rsidR="001C682A" w:rsidRDefault="00B03C38">
            <w:pPr>
              <w:spacing w:after="0" w:line="259" w:lineRule="auto"/>
              <w:ind w:left="0" w:firstLine="0"/>
              <w:jc w:val="left"/>
            </w:pPr>
            <w:r>
              <w:rPr>
                <w:rFonts w:ascii="Cambria" w:eastAsia="Cambria" w:hAnsi="Cambria" w:cs="Cambria"/>
                <w:sz w:val="18"/>
              </w:rPr>
              <w:t>Exchange Rate (N/$)</w:t>
            </w:r>
          </w:p>
        </w:tc>
        <w:tc>
          <w:tcPr>
            <w:tcW w:w="1232" w:type="dxa"/>
            <w:tcBorders>
              <w:top w:val="single" w:sz="4" w:space="0" w:color="FFFFFF"/>
              <w:left w:val="single" w:sz="4" w:space="0" w:color="FFFFFF"/>
              <w:bottom w:val="single" w:sz="4" w:space="0" w:color="FFFFFF"/>
              <w:right w:val="single" w:sz="4" w:space="0" w:color="FFFFFF"/>
            </w:tcBorders>
            <w:shd w:val="clear" w:color="auto" w:fill="EDEDED"/>
          </w:tcPr>
          <w:p w:rsidR="001C682A" w:rsidRDefault="00B03C38">
            <w:pPr>
              <w:spacing w:after="0" w:line="259" w:lineRule="auto"/>
              <w:ind w:left="77" w:firstLine="0"/>
              <w:jc w:val="left"/>
            </w:pPr>
            <w:r>
              <w:rPr>
                <w:rFonts w:ascii="Cambria" w:eastAsia="Cambria" w:hAnsi="Cambria" w:cs="Cambria"/>
                <w:sz w:val="18"/>
              </w:rPr>
              <w:t xml:space="preserve">             305.0</w:t>
            </w:r>
          </w:p>
        </w:tc>
        <w:tc>
          <w:tcPr>
            <w:tcW w:w="1231" w:type="dxa"/>
            <w:tcBorders>
              <w:top w:val="single" w:sz="4" w:space="0" w:color="FFFFFF"/>
              <w:left w:val="single" w:sz="4" w:space="0" w:color="FFFFFF"/>
              <w:bottom w:val="single" w:sz="4" w:space="0" w:color="FFFFFF"/>
              <w:right w:val="single" w:sz="4" w:space="0" w:color="FFFFFF"/>
            </w:tcBorders>
            <w:shd w:val="clear" w:color="auto" w:fill="EDEDED"/>
          </w:tcPr>
          <w:p w:rsidR="001C682A" w:rsidRDefault="001C682A">
            <w:pPr>
              <w:spacing w:after="0" w:line="259" w:lineRule="auto"/>
              <w:ind w:left="76" w:firstLine="0"/>
              <w:jc w:val="left"/>
            </w:pPr>
          </w:p>
        </w:tc>
        <w:tc>
          <w:tcPr>
            <w:tcW w:w="1253" w:type="dxa"/>
            <w:tcBorders>
              <w:top w:val="single" w:sz="4" w:space="0" w:color="FFFFFF"/>
              <w:left w:val="single" w:sz="4" w:space="0" w:color="FFFFFF"/>
              <w:bottom w:val="single" w:sz="4" w:space="0" w:color="FFFFFF"/>
              <w:right w:val="single" w:sz="4" w:space="0" w:color="FFFFFF"/>
            </w:tcBorders>
            <w:shd w:val="clear" w:color="auto" w:fill="EDEDED"/>
          </w:tcPr>
          <w:p w:rsidR="001C682A" w:rsidRDefault="001C682A">
            <w:pPr>
              <w:spacing w:after="0" w:line="259" w:lineRule="auto"/>
              <w:ind w:left="1" w:firstLine="0"/>
              <w:jc w:val="center"/>
            </w:pPr>
          </w:p>
        </w:tc>
        <w:tc>
          <w:tcPr>
            <w:tcW w:w="1221" w:type="dxa"/>
            <w:tcBorders>
              <w:top w:val="single" w:sz="4" w:space="0" w:color="FFFFFF"/>
              <w:left w:val="single" w:sz="4" w:space="0" w:color="FFFFFF"/>
              <w:bottom w:val="single" w:sz="4" w:space="0" w:color="FFFFFF"/>
              <w:right w:val="single" w:sz="4" w:space="0" w:color="FFFFFF"/>
            </w:tcBorders>
            <w:shd w:val="clear" w:color="auto" w:fill="EDEDED"/>
          </w:tcPr>
          <w:p w:rsidR="001C682A" w:rsidRDefault="001C682A">
            <w:pPr>
              <w:spacing w:after="0" w:line="259" w:lineRule="auto"/>
              <w:ind w:left="77" w:firstLine="0"/>
              <w:jc w:val="left"/>
            </w:pPr>
          </w:p>
        </w:tc>
        <w:tc>
          <w:tcPr>
            <w:tcW w:w="1276" w:type="dxa"/>
            <w:tcBorders>
              <w:top w:val="single" w:sz="4" w:space="0" w:color="FFFFFF"/>
              <w:left w:val="single" w:sz="4" w:space="0" w:color="FFFFFF"/>
              <w:bottom w:val="single" w:sz="4" w:space="0" w:color="FFFFFF"/>
              <w:right w:val="single" w:sz="4" w:space="0" w:color="FFFFFF"/>
            </w:tcBorders>
            <w:shd w:val="clear" w:color="auto" w:fill="EDEDED"/>
          </w:tcPr>
          <w:p w:rsidR="001C682A" w:rsidRDefault="001C682A">
            <w:pPr>
              <w:spacing w:after="0" w:line="259" w:lineRule="auto"/>
              <w:ind w:left="0" w:right="1" w:firstLine="0"/>
              <w:jc w:val="center"/>
            </w:pPr>
          </w:p>
        </w:tc>
      </w:tr>
      <w:tr w:rsidR="00FA7E56">
        <w:trPr>
          <w:trHeight w:val="242"/>
        </w:trPr>
        <w:tc>
          <w:tcPr>
            <w:tcW w:w="2783" w:type="dxa"/>
            <w:tcBorders>
              <w:top w:val="single" w:sz="4" w:space="0" w:color="FFFFFF"/>
              <w:left w:val="single" w:sz="4" w:space="0" w:color="FFFFFF"/>
              <w:bottom w:val="single" w:sz="4" w:space="0" w:color="FFFFFF"/>
              <w:right w:val="single" w:sz="4" w:space="0" w:color="FFFFFF"/>
            </w:tcBorders>
          </w:tcPr>
          <w:p w:rsidR="00FA7E56" w:rsidRDefault="00FA7E56" w:rsidP="00FA7E56">
            <w:pPr>
              <w:spacing w:after="0" w:line="259" w:lineRule="auto"/>
              <w:ind w:left="0" w:firstLine="0"/>
              <w:jc w:val="left"/>
            </w:pPr>
            <w:r>
              <w:rPr>
                <w:rFonts w:ascii="Cambria" w:eastAsia="Cambria" w:hAnsi="Cambria" w:cs="Cambria"/>
                <w:sz w:val="18"/>
              </w:rPr>
              <w:t>Inflation (%)</w:t>
            </w:r>
          </w:p>
        </w:tc>
        <w:tc>
          <w:tcPr>
            <w:tcW w:w="1232" w:type="dxa"/>
            <w:tcBorders>
              <w:top w:val="single" w:sz="4" w:space="0" w:color="FFFFFF"/>
              <w:left w:val="single" w:sz="4" w:space="0" w:color="FFFFFF"/>
              <w:bottom w:val="single" w:sz="4" w:space="0" w:color="FFFFFF"/>
              <w:right w:val="single" w:sz="4" w:space="0" w:color="FFFFFF"/>
            </w:tcBorders>
          </w:tcPr>
          <w:p w:rsidR="00FA7E56" w:rsidRDefault="00FA7E56" w:rsidP="00FA7E56">
            <w:pPr>
              <w:spacing w:after="0" w:line="259" w:lineRule="auto"/>
              <w:ind w:left="77" w:firstLine="0"/>
              <w:jc w:val="left"/>
            </w:pPr>
            <w:r>
              <w:rPr>
                <w:rFonts w:ascii="Cambria" w:eastAsia="Cambria" w:hAnsi="Cambria" w:cs="Cambria"/>
                <w:sz w:val="18"/>
              </w:rPr>
              <w:t xml:space="preserve">             11.98</w:t>
            </w:r>
          </w:p>
        </w:tc>
        <w:tc>
          <w:tcPr>
            <w:tcW w:w="1231" w:type="dxa"/>
            <w:tcBorders>
              <w:top w:val="single" w:sz="4" w:space="0" w:color="FFFFFF"/>
              <w:left w:val="single" w:sz="4" w:space="0" w:color="FFFFFF"/>
              <w:bottom w:val="single" w:sz="4" w:space="0" w:color="FFFFFF"/>
              <w:right w:val="single" w:sz="4" w:space="0" w:color="FFFFFF"/>
            </w:tcBorders>
          </w:tcPr>
          <w:p w:rsidR="00FA7E56" w:rsidRDefault="00FA7E56" w:rsidP="00FA7E56">
            <w:pPr>
              <w:spacing w:after="0" w:line="259" w:lineRule="auto"/>
              <w:ind w:left="1" w:firstLine="0"/>
              <w:jc w:val="center"/>
            </w:pPr>
            <w:r>
              <w:rPr>
                <w:rFonts w:ascii="Cambria" w:eastAsia="Cambria" w:hAnsi="Cambria" w:cs="Cambria"/>
                <w:sz w:val="18"/>
              </w:rPr>
              <w:t xml:space="preserve">                1.86</w:t>
            </w:r>
          </w:p>
        </w:tc>
        <w:tc>
          <w:tcPr>
            <w:tcW w:w="1253" w:type="dxa"/>
            <w:tcBorders>
              <w:top w:val="single" w:sz="4" w:space="0" w:color="FFFFFF"/>
              <w:left w:val="single" w:sz="4" w:space="0" w:color="FFFFFF"/>
              <w:bottom w:val="single" w:sz="4" w:space="0" w:color="FFFFFF"/>
              <w:right w:val="single" w:sz="4" w:space="0" w:color="FFFFFF"/>
            </w:tcBorders>
          </w:tcPr>
          <w:p w:rsidR="00FA7E56" w:rsidRDefault="00FA7E56" w:rsidP="00FA7E56">
            <w:pPr>
              <w:spacing w:after="0" w:line="259" w:lineRule="auto"/>
              <w:ind w:left="1" w:firstLine="0"/>
              <w:jc w:val="center"/>
            </w:pPr>
            <w:r>
              <w:rPr>
                <w:rFonts w:ascii="Cambria" w:eastAsia="Cambria" w:hAnsi="Cambria" w:cs="Cambria"/>
                <w:sz w:val="18"/>
              </w:rPr>
              <w:t xml:space="preserve">               2.09</w:t>
            </w:r>
          </w:p>
        </w:tc>
        <w:tc>
          <w:tcPr>
            <w:tcW w:w="1221" w:type="dxa"/>
            <w:tcBorders>
              <w:top w:val="single" w:sz="4" w:space="0" w:color="FFFFFF"/>
              <w:left w:val="single" w:sz="4" w:space="0" w:color="FFFFFF"/>
              <w:bottom w:val="single" w:sz="4" w:space="0" w:color="FFFFFF"/>
              <w:right w:val="single" w:sz="4" w:space="0" w:color="FFFFFF"/>
            </w:tcBorders>
          </w:tcPr>
          <w:p w:rsidR="00FA7E56" w:rsidRDefault="00FA7E56" w:rsidP="00FA7E56">
            <w:pPr>
              <w:spacing w:after="0" w:line="259" w:lineRule="auto"/>
              <w:ind w:left="0" w:firstLine="0"/>
              <w:jc w:val="center"/>
            </w:pPr>
            <w:r>
              <w:rPr>
                <w:rFonts w:ascii="Cambria" w:eastAsia="Cambria" w:hAnsi="Cambria" w:cs="Cambria"/>
                <w:sz w:val="18"/>
              </w:rPr>
              <w:t xml:space="preserve">                 2.38</w:t>
            </w:r>
          </w:p>
        </w:tc>
        <w:tc>
          <w:tcPr>
            <w:tcW w:w="1276" w:type="dxa"/>
            <w:tcBorders>
              <w:top w:val="single" w:sz="4" w:space="0" w:color="FFFFFF"/>
              <w:left w:val="single" w:sz="4" w:space="0" w:color="FFFFFF"/>
              <w:bottom w:val="single" w:sz="4" w:space="0" w:color="FFFFFF"/>
              <w:right w:val="single" w:sz="4" w:space="0" w:color="FFFFFF"/>
            </w:tcBorders>
          </w:tcPr>
          <w:p w:rsidR="00FA7E56" w:rsidRDefault="00FA7E56" w:rsidP="00FA7E56">
            <w:pPr>
              <w:spacing w:after="0" w:line="259" w:lineRule="auto"/>
              <w:ind w:left="1" w:firstLine="0"/>
              <w:jc w:val="center"/>
            </w:pPr>
            <w:r>
              <w:rPr>
                <w:rFonts w:ascii="Cambria" w:eastAsia="Cambria" w:hAnsi="Cambria" w:cs="Cambria"/>
                <w:sz w:val="18"/>
              </w:rPr>
              <w:t xml:space="preserve">                1.86</w:t>
            </w:r>
          </w:p>
        </w:tc>
      </w:tr>
      <w:tr w:rsidR="001C682A">
        <w:trPr>
          <w:trHeight w:val="246"/>
        </w:trPr>
        <w:tc>
          <w:tcPr>
            <w:tcW w:w="2783" w:type="dxa"/>
            <w:tcBorders>
              <w:top w:val="single" w:sz="4" w:space="0" w:color="FFFFFF"/>
              <w:left w:val="single" w:sz="4" w:space="0" w:color="FFFFFF"/>
              <w:bottom w:val="single" w:sz="4" w:space="0" w:color="FFFFFF"/>
              <w:right w:val="single" w:sz="4" w:space="0" w:color="FFFFFF"/>
            </w:tcBorders>
            <w:shd w:val="clear" w:color="auto" w:fill="EDEDED"/>
          </w:tcPr>
          <w:p w:rsidR="001C682A" w:rsidRDefault="00B03C38">
            <w:pPr>
              <w:spacing w:after="0" w:line="259" w:lineRule="auto"/>
              <w:ind w:left="0" w:firstLine="0"/>
              <w:jc w:val="left"/>
            </w:pPr>
            <w:r>
              <w:rPr>
                <w:rFonts w:ascii="Cambria" w:eastAsia="Cambria" w:hAnsi="Cambria" w:cs="Cambria"/>
                <w:sz w:val="18"/>
              </w:rPr>
              <w:t>Non-Oil GDP (</w:t>
            </w:r>
            <w:proofErr w:type="spellStart"/>
            <w:r>
              <w:rPr>
                <w:rFonts w:ascii="Cambria" w:eastAsia="Cambria" w:hAnsi="Cambria" w:cs="Cambria"/>
                <w:sz w:val="18"/>
              </w:rPr>
              <w:t>N'bn</w:t>
            </w:r>
            <w:proofErr w:type="spellEnd"/>
            <w:r>
              <w:rPr>
                <w:rFonts w:ascii="Cambria" w:eastAsia="Cambria" w:hAnsi="Cambria" w:cs="Cambria"/>
                <w:sz w:val="18"/>
              </w:rPr>
              <w:t>)</w:t>
            </w:r>
          </w:p>
        </w:tc>
        <w:tc>
          <w:tcPr>
            <w:tcW w:w="1232" w:type="dxa"/>
            <w:tcBorders>
              <w:top w:val="single" w:sz="4" w:space="0" w:color="FFFFFF"/>
              <w:left w:val="single" w:sz="4" w:space="0" w:color="FFFFFF"/>
              <w:bottom w:val="single" w:sz="4" w:space="0" w:color="FFFFFF"/>
              <w:right w:val="single" w:sz="4" w:space="0" w:color="FFFFFF"/>
            </w:tcBorders>
            <w:shd w:val="clear" w:color="auto" w:fill="EDEDED"/>
          </w:tcPr>
          <w:p w:rsidR="001C682A" w:rsidRDefault="00B03C38">
            <w:pPr>
              <w:spacing w:after="0" w:line="259" w:lineRule="auto"/>
              <w:ind w:left="77" w:firstLine="0"/>
              <w:jc w:val="left"/>
            </w:pPr>
            <w:r>
              <w:rPr>
                <w:rFonts w:ascii="Cambria" w:eastAsia="Cambria" w:hAnsi="Cambria" w:cs="Cambria"/>
                <w:sz w:val="18"/>
              </w:rPr>
              <w:t xml:space="preserve">     131,810.1</w:t>
            </w:r>
          </w:p>
        </w:tc>
        <w:tc>
          <w:tcPr>
            <w:tcW w:w="1231" w:type="dxa"/>
            <w:tcBorders>
              <w:top w:val="single" w:sz="4" w:space="0" w:color="FFFFFF"/>
              <w:left w:val="single" w:sz="4" w:space="0" w:color="FFFFFF"/>
              <w:bottom w:val="single" w:sz="4" w:space="0" w:color="FFFFFF"/>
              <w:right w:val="single" w:sz="4" w:space="0" w:color="FFFFFF"/>
            </w:tcBorders>
            <w:shd w:val="clear" w:color="auto" w:fill="EDEDED"/>
          </w:tcPr>
          <w:p w:rsidR="001C682A" w:rsidRDefault="00B03C38">
            <w:pPr>
              <w:spacing w:after="0" w:line="259" w:lineRule="auto"/>
              <w:ind w:left="76" w:firstLine="0"/>
              <w:jc w:val="left"/>
            </w:pPr>
            <w:r>
              <w:rPr>
                <w:rFonts w:ascii="Cambria" w:eastAsia="Cambria" w:hAnsi="Cambria" w:cs="Cambria"/>
                <w:sz w:val="18"/>
              </w:rPr>
              <w:t xml:space="preserve">     131,155.5</w:t>
            </w:r>
          </w:p>
        </w:tc>
        <w:tc>
          <w:tcPr>
            <w:tcW w:w="1253" w:type="dxa"/>
            <w:tcBorders>
              <w:top w:val="single" w:sz="4" w:space="0" w:color="FFFFFF"/>
              <w:left w:val="single" w:sz="4" w:space="0" w:color="FFFFFF"/>
              <w:bottom w:val="single" w:sz="4" w:space="0" w:color="FFFFFF"/>
              <w:right w:val="single" w:sz="4" w:space="0" w:color="FFFFFF"/>
            </w:tcBorders>
            <w:shd w:val="clear" w:color="auto" w:fill="EDEDED"/>
          </w:tcPr>
          <w:p w:rsidR="001C682A" w:rsidRDefault="00B03C38">
            <w:pPr>
              <w:spacing w:after="0" w:line="259" w:lineRule="auto"/>
              <w:ind w:left="76" w:firstLine="0"/>
              <w:jc w:val="left"/>
            </w:pPr>
            <w:r>
              <w:rPr>
                <w:rFonts w:ascii="Cambria" w:eastAsia="Cambria" w:hAnsi="Cambria" w:cs="Cambria"/>
                <w:sz w:val="18"/>
              </w:rPr>
              <w:t xml:space="preserve">     132,592.2</w:t>
            </w:r>
          </w:p>
        </w:tc>
        <w:tc>
          <w:tcPr>
            <w:tcW w:w="1221" w:type="dxa"/>
            <w:tcBorders>
              <w:top w:val="single" w:sz="4" w:space="0" w:color="FFFFFF"/>
              <w:left w:val="single" w:sz="4" w:space="0" w:color="FFFFFF"/>
              <w:bottom w:val="single" w:sz="4" w:space="0" w:color="FFFFFF"/>
              <w:right w:val="single" w:sz="4" w:space="0" w:color="FFFFFF"/>
            </w:tcBorders>
            <w:shd w:val="clear" w:color="auto" w:fill="EDEDED"/>
          </w:tcPr>
          <w:p w:rsidR="001C682A" w:rsidRDefault="00B03C38">
            <w:pPr>
              <w:spacing w:after="0" w:line="259" w:lineRule="auto"/>
              <w:ind w:left="77" w:firstLine="0"/>
              <w:jc w:val="left"/>
            </w:pPr>
            <w:r>
              <w:rPr>
                <w:rFonts w:ascii="Cambria" w:eastAsia="Cambria" w:hAnsi="Cambria" w:cs="Cambria"/>
                <w:sz w:val="18"/>
              </w:rPr>
              <w:t xml:space="preserve">    134,154.5</w:t>
            </w:r>
          </w:p>
        </w:tc>
        <w:tc>
          <w:tcPr>
            <w:tcW w:w="1276" w:type="dxa"/>
            <w:tcBorders>
              <w:top w:val="single" w:sz="4" w:space="0" w:color="FFFFFF"/>
              <w:left w:val="single" w:sz="4" w:space="0" w:color="FFFFFF"/>
              <w:bottom w:val="single" w:sz="4" w:space="0" w:color="FFFFFF"/>
              <w:right w:val="single" w:sz="4" w:space="0" w:color="FFFFFF"/>
            </w:tcBorders>
            <w:shd w:val="clear" w:color="auto" w:fill="EDEDED"/>
          </w:tcPr>
          <w:p w:rsidR="001C682A" w:rsidRDefault="00B03C38">
            <w:pPr>
              <w:spacing w:after="0" w:line="259" w:lineRule="auto"/>
              <w:ind w:left="76" w:firstLine="0"/>
              <w:jc w:val="left"/>
            </w:pPr>
            <w:r>
              <w:rPr>
                <w:rFonts w:ascii="Cambria" w:eastAsia="Cambria" w:hAnsi="Cambria" w:cs="Cambria"/>
                <w:sz w:val="18"/>
              </w:rPr>
              <w:t xml:space="preserve">      139,304.9</w:t>
            </w:r>
          </w:p>
        </w:tc>
      </w:tr>
      <w:tr w:rsidR="001C682A">
        <w:trPr>
          <w:trHeight w:val="242"/>
        </w:trPr>
        <w:tc>
          <w:tcPr>
            <w:tcW w:w="2783" w:type="dxa"/>
            <w:tcBorders>
              <w:top w:val="single" w:sz="4" w:space="0" w:color="FFFFFF"/>
              <w:left w:val="single" w:sz="4" w:space="0" w:color="FFFFFF"/>
              <w:bottom w:val="single" w:sz="4" w:space="0" w:color="FFFFFF"/>
              <w:right w:val="single" w:sz="4" w:space="0" w:color="FFFFFF"/>
            </w:tcBorders>
          </w:tcPr>
          <w:p w:rsidR="001C682A" w:rsidRDefault="00B03C38">
            <w:pPr>
              <w:spacing w:after="0" w:line="259" w:lineRule="auto"/>
              <w:ind w:left="0" w:firstLine="0"/>
              <w:jc w:val="left"/>
            </w:pPr>
            <w:r>
              <w:rPr>
                <w:rFonts w:ascii="Cambria" w:eastAsia="Cambria" w:hAnsi="Cambria" w:cs="Cambria"/>
                <w:sz w:val="18"/>
              </w:rPr>
              <w:t>Oil GDP (</w:t>
            </w:r>
            <w:proofErr w:type="spellStart"/>
            <w:r>
              <w:rPr>
                <w:rFonts w:ascii="Cambria" w:eastAsia="Cambria" w:hAnsi="Cambria" w:cs="Cambria"/>
                <w:sz w:val="18"/>
              </w:rPr>
              <w:t>N'bn</w:t>
            </w:r>
            <w:proofErr w:type="spellEnd"/>
            <w:r>
              <w:rPr>
                <w:rFonts w:ascii="Cambria" w:eastAsia="Cambria" w:hAnsi="Cambria" w:cs="Cambria"/>
                <w:sz w:val="18"/>
              </w:rPr>
              <w:t>)</w:t>
            </w:r>
          </w:p>
        </w:tc>
        <w:tc>
          <w:tcPr>
            <w:tcW w:w="1232" w:type="dxa"/>
            <w:tcBorders>
              <w:top w:val="single" w:sz="4" w:space="0" w:color="FFFFFF"/>
              <w:left w:val="single" w:sz="4" w:space="0" w:color="FFFFFF"/>
              <w:bottom w:val="single" w:sz="4" w:space="0" w:color="FFFFFF"/>
              <w:right w:val="single" w:sz="4" w:space="0" w:color="FFFFFF"/>
            </w:tcBorders>
          </w:tcPr>
          <w:p w:rsidR="001C682A" w:rsidRDefault="00B03C38">
            <w:pPr>
              <w:spacing w:after="0" w:line="259" w:lineRule="auto"/>
              <w:ind w:left="77" w:firstLine="0"/>
              <w:jc w:val="left"/>
            </w:pPr>
            <w:r>
              <w:rPr>
                <w:rFonts w:ascii="Cambria" w:eastAsia="Cambria" w:hAnsi="Cambria" w:cs="Cambria"/>
                <w:sz w:val="18"/>
              </w:rPr>
              <w:t xml:space="preserve">       12,400.4</w:t>
            </w:r>
          </w:p>
        </w:tc>
        <w:tc>
          <w:tcPr>
            <w:tcW w:w="1231" w:type="dxa"/>
            <w:tcBorders>
              <w:top w:val="single" w:sz="4" w:space="0" w:color="FFFFFF"/>
              <w:left w:val="single" w:sz="4" w:space="0" w:color="FFFFFF"/>
              <w:bottom w:val="single" w:sz="4" w:space="0" w:color="FFFFFF"/>
              <w:right w:val="single" w:sz="4" w:space="0" w:color="FFFFFF"/>
            </w:tcBorders>
          </w:tcPr>
          <w:p w:rsidR="001C682A" w:rsidRDefault="00B03C38">
            <w:pPr>
              <w:spacing w:after="0" w:line="259" w:lineRule="auto"/>
              <w:ind w:left="76" w:firstLine="0"/>
              <w:jc w:val="left"/>
            </w:pPr>
            <w:r>
              <w:rPr>
                <w:rFonts w:ascii="Cambria" w:eastAsia="Cambria" w:hAnsi="Cambria" w:cs="Cambria"/>
                <w:sz w:val="18"/>
              </w:rPr>
              <w:t xml:space="preserve">          8,691.9</w:t>
            </w:r>
          </w:p>
        </w:tc>
        <w:tc>
          <w:tcPr>
            <w:tcW w:w="1253" w:type="dxa"/>
            <w:tcBorders>
              <w:top w:val="single" w:sz="4" w:space="0" w:color="FFFFFF"/>
              <w:left w:val="single" w:sz="4" w:space="0" w:color="FFFFFF"/>
              <w:bottom w:val="single" w:sz="4" w:space="0" w:color="FFFFFF"/>
              <w:right w:val="single" w:sz="4" w:space="0" w:color="FFFFFF"/>
            </w:tcBorders>
          </w:tcPr>
          <w:p w:rsidR="001C682A" w:rsidRDefault="00B03C38">
            <w:pPr>
              <w:spacing w:after="0" w:line="259" w:lineRule="auto"/>
              <w:ind w:left="76" w:firstLine="0"/>
              <w:jc w:val="left"/>
            </w:pPr>
            <w:r>
              <w:rPr>
                <w:rFonts w:ascii="Cambria" w:eastAsia="Cambria" w:hAnsi="Cambria" w:cs="Cambria"/>
                <w:sz w:val="18"/>
              </w:rPr>
              <w:t xml:space="preserve">        10,102.2</w:t>
            </w:r>
          </w:p>
        </w:tc>
        <w:tc>
          <w:tcPr>
            <w:tcW w:w="1221" w:type="dxa"/>
            <w:tcBorders>
              <w:top w:val="single" w:sz="4" w:space="0" w:color="FFFFFF"/>
              <w:left w:val="single" w:sz="4" w:space="0" w:color="FFFFFF"/>
              <w:bottom w:val="single" w:sz="4" w:space="0" w:color="FFFFFF"/>
              <w:right w:val="single" w:sz="4" w:space="0" w:color="FFFFFF"/>
            </w:tcBorders>
          </w:tcPr>
          <w:p w:rsidR="001C682A" w:rsidRDefault="00B03C38">
            <w:pPr>
              <w:spacing w:after="0" w:line="259" w:lineRule="auto"/>
              <w:ind w:left="77" w:firstLine="0"/>
              <w:jc w:val="left"/>
            </w:pPr>
            <w:r>
              <w:rPr>
                <w:rFonts w:ascii="Cambria" w:eastAsia="Cambria" w:hAnsi="Cambria" w:cs="Cambria"/>
                <w:sz w:val="18"/>
              </w:rPr>
              <w:t xml:space="preserve">       12,640.0</w:t>
            </w:r>
          </w:p>
        </w:tc>
        <w:tc>
          <w:tcPr>
            <w:tcW w:w="1276" w:type="dxa"/>
            <w:tcBorders>
              <w:top w:val="single" w:sz="4" w:space="0" w:color="FFFFFF"/>
              <w:left w:val="single" w:sz="4" w:space="0" w:color="FFFFFF"/>
              <w:bottom w:val="single" w:sz="4" w:space="0" w:color="FFFFFF"/>
              <w:right w:val="single" w:sz="4" w:space="0" w:color="FFFFFF"/>
            </w:tcBorders>
          </w:tcPr>
          <w:p w:rsidR="001C682A" w:rsidRDefault="00B03C38">
            <w:pPr>
              <w:spacing w:after="0" w:line="259" w:lineRule="auto"/>
              <w:ind w:left="76" w:firstLine="0"/>
              <w:jc w:val="left"/>
            </w:pPr>
            <w:r>
              <w:rPr>
                <w:rFonts w:ascii="Cambria" w:eastAsia="Cambria" w:hAnsi="Cambria" w:cs="Cambria"/>
                <w:sz w:val="18"/>
              </w:rPr>
              <w:t xml:space="preserve">        12,159.5</w:t>
            </w:r>
          </w:p>
        </w:tc>
      </w:tr>
      <w:tr w:rsidR="001C682A">
        <w:trPr>
          <w:trHeight w:val="246"/>
        </w:trPr>
        <w:tc>
          <w:tcPr>
            <w:tcW w:w="2783" w:type="dxa"/>
            <w:tcBorders>
              <w:top w:val="single" w:sz="4" w:space="0" w:color="FFFFFF"/>
              <w:left w:val="single" w:sz="4" w:space="0" w:color="FFFFFF"/>
              <w:bottom w:val="single" w:sz="4" w:space="0" w:color="FFFFFF"/>
              <w:right w:val="single" w:sz="4" w:space="0" w:color="FFFFFF"/>
            </w:tcBorders>
            <w:shd w:val="clear" w:color="auto" w:fill="EDEDED"/>
          </w:tcPr>
          <w:p w:rsidR="001C682A" w:rsidRDefault="00B03C38">
            <w:pPr>
              <w:spacing w:after="0" w:line="259" w:lineRule="auto"/>
              <w:ind w:left="0" w:firstLine="0"/>
              <w:jc w:val="left"/>
            </w:pPr>
            <w:r>
              <w:rPr>
                <w:rFonts w:ascii="Cambria" w:eastAsia="Cambria" w:hAnsi="Cambria" w:cs="Cambria"/>
                <w:sz w:val="18"/>
              </w:rPr>
              <w:t>Nominal GDP (</w:t>
            </w:r>
            <w:proofErr w:type="spellStart"/>
            <w:r>
              <w:rPr>
                <w:rFonts w:ascii="Cambria" w:eastAsia="Cambria" w:hAnsi="Cambria" w:cs="Cambria"/>
                <w:sz w:val="18"/>
              </w:rPr>
              <w:t>N'bn</w:t>
            </w:r>
            <w:proofErr w:type="spellEnd"/>
            <w:r>
              <w:rPr>
                <w:rFonts w:ascii="Cambria" w:eastAsia="Cambria" w:hAnsi="Cambria" w:cs="Cambria"/>
                <w:sz w:val="18"/>
              </w:rPr>
              <w:t>)</w:t>
            </w:r>
          </w:p>
        </w:tc>
        <w:tc>
          <w:tcPr>
            <w:tcW w:w="1232" w:type="dxa"/>
            <w:tcBorders>
              <w:top w:val="single" w:sz="4" w:space="0" w:color="FFFFFF"/>
              <w:left w:val="single" w:sz="4" w:space="0" w:color="FFFFFF"/>
              <w:bottom w:val="single" w:sz="4" w:space="0" w:color="FFFFFF"/>
              <w:right w:val="single" w:sz="4" w:space="0" w:color="FFFFFF"/>
            </w:tcBorders>
            <w:shd w:val="clear" w:color="auto" w:fill="EDEDED"/>
          </w:tcPr>
          <w:p w:rsidR="001C682A" w:rsidRDefault="00B03C38">
            <w:pPr>
              <w:spacing w:after="0" w:line="259" w:lineRule="auto"/>
              <w:ind w:left="77" w:firstLine="0"/>
              <w:jc w:val="left"/>
            </w:pPr>
            <w:r>
              <w:rPr>
                <w:rFonts w:ascii="Cambria" w:eastAsia="Cambria" w:hAnsi="Cambria" w:cs="Cambria"/>
                <w:sz w:val="18"/>
              </w:rPr>
              <w:t xml:space="preserve">     144,210.5</w:t>
            </w:r>
          </w:p>
        </w:tc>
        <w:tc>
          <w:tcPr>
            <w:tcW w:w="1231" w:type="dxa"/>
            <w:tcBorders>
              <w:top w:val="single" w:sz="4" w:space="0" w:color="FFFFFF"/>
              <w:left w:val="single" w:sz="4" w:space="0" w:color="FFFFFF"/>
              <w:bottom w:val="single" w:sz="4" w:space="0" w:color="FFFFFF"/>
              <w:right w:val="single" w:sz="4" w:space="0" w:color="FFFFFF"/>
            </w:tcBorders>
            <w:shd w:val="clear" w:color="auto" w:fill="EDEDED"/>
          </w:tcPr>
          <w:p w:rsidR="001C682A" w:rsidRDefault="00B03C38">
            <w:pPr>
              <w:spacing w:after="0" w:line="259" w:lineRule="auto"/>
              <w:ind w:left="76" w:firstLine="0"/>
              <w:jc w:val="left"/>
            </w:pPr>
            <w:r>
              <w:rPr>
                <w:rFonts w:ascii="Cambria" w:eastAsia="Cambria" w:hAnsi="Cambria" w:cs="Cambria"/>
                <w:sz w:val="18"/>
              </w:rPr>
              <w:t xml:space="preserve">     139,517.5</w:t>
            </w:r>
          </w:p>
        </w:tc>
        <w:tc>
          <w:tcPr>
            <w:tcW w:w="1253" w:type="dxa"/>
            <w:tcBorders>
              <w:top w:val="single" w:sz="4" w:space="0" w:color="FFFFFF"/>
              <w:left w:val="single" w:sz="4" w:space="0" w:color="FFFFFF"/>
              <w:bottom w:val="single" w:sz="4" w:space="0" w:color="FFFFFF"/>
              <w:right w:val="single" w:sz="4" w:space="0" w:color="FFFFFF"/>
            </w:tcBorders>
            <w:shd w:val="clear" w:color="auto" w:fill="EDEDED"/>
          </w:tcPr>
          <w:p w:rsidR="001C682A" w:rsidRDefault="00B03C38">
            <w:pPr>
              <w:spacing w:after="0" w:line="259" w:lineRule="auto"/>
              <w:ind w:left="76" w:firstLine="0"/>
              <w:jc w:val="left"/>
            </w:pPr>
            <w:r>
              <w:rPr>
                <w:rFonts w:ascii="Cambria" w:eastAsia="Cambria" w:hAnsi="Cambria" w:cs="Cambria"/>
                <w:sz w:val="18"/>
              </w:rPr>
              <w:t xml:space="preserve">     142,192.1</w:t>
            </w:r>
          </w:p>
        </w:tc>
        <w:tc>
          <w:tcPr>
            <w:tcW w:w="1221" w:type="dxa"/>
            <w:tcBorders>
              <w:top w:val="single" w:sz="4" w:space="0" w:color="FFFFFF"/>
              <w:left w:val="single" w:sz="4" w:space="0" w:color="FFFFFF"/>
              <w:bottom w:val="single" w:sz="4" w:space="0" w:color="FFFFFF"/>
              <w:right w:val="single" w:sz="4" w:space="0" w:color="FFFFFF"/>
            </w:tcBorders>
            <w:shd w:val="clear" w:color="auto" w:fill="EDEDED"/>
          </w:tcPr>
          <w:p w:rsidR="001C682A" w:rsidRDefault="00B03C38">
            <w:pPr>
              <w:spacing w:after="0" w:line="259" w:lineRule="auto"/>
              <w:ind w:left="77" w:firstLine="0"/>
              <w:jc w:val="left"/>
            </w:pPr>
            <w:r>
              <w:rPr>
                <w:rFonts w:ascii="Cambria" w:eastAsia="Cambria" w:hAnsi="Cambria" w:cs="Cambria"/>
                <w:sz w:val="18"/>
              </w:rPr>
              <w:t xml:space="preserve">    146,072.8</w:t>
            </w:r>
          </w:p>
        </w:tc>
        <w:tc>
          <w:tcPr>
            <w:tcW w:w="1276" w:type="dxa"/>
            <w:tcBorders>
              <w:top w:val="single" w:sz="4" w:space="0" w:color="FFFFFF"/>
              <w:left w:val="single" w:sz="4" w:space="0" w:color="FFFFFF"/>
              <w:bottom w:val="single" w:sz="4" w:space="0" w:color="FFFFFF"/>
              <w:right w:val="single" w:sz="4" w:space="0" w:color="FFFFFF"/>
            </w:tcBorders>
            <w:shd w:val="clear" w:color="auto" w:fill="EDEDED"/>
          </w:tcPr>
          <w:p w:rsidR="001C682A" w:rsidRDefault="00B03C38">
            <w:pPr>
              <w:spacing w:after="0" w:line="259" w:lineRule="auto"/>
              <w:ind w:left="76" w:firstLine="0"/>
              <w:jc w:val="left"/>
            </w:pPr>
            <w:r>
              <w:rPr>
                <w:rFonts w:ascii="Cambria" w:eastAsia="Cambria" w:hAnsi="Cambria" w:cs="Cambria"/>
                <w:sz w:val="18"/>
              </w:rPr>
              <w:t xml:space="preserve">      150,497.7</w:t>
            </w:r>
          </w:p>
        </w:tc>
      </w:tr>
      <w:tr w:rsidR="001C682A">
        <w:trPr>
          <w:trHeight w:val="242"/>
        </w:trPr>
        <w:tc>
          <w:tcPr>
            <w:tcW w:w="2783" w:type="dxa"/>
            <w:tcBorders>
              <w:top w:val="single" w:sz="4" w:space="0" w:color="FFFFFF"/>
              <w:left w:val="single" w:sz="4" w:space="0" w:color="FFFFFF"/>
              <w:bottom w:val="single" w:sz="4" w:space="0" w:color="FFFFFF"/>
              <w:right w:val="single" w:sz="4" w:space="0" w:color="FFFFFF"/>
            </w:tcBorders>
          </w:tcPr>
          <w:p w:rsidR="001C682A" w:rsidRDefault="00B03C38">
            <w:pPr>
              <w:spacing w:after="0" w:line="259" w:lineRule="auto"/>
              <w:ind w:left="0" w:firstLine="0"/>
              <w:jc w:val="left"/>
            </w:pPr>
            <w:r>
              <w:rPr>
                <w:rFonts w:ascii="Cambria" w:eastAsia="Cambria" w:hAnsi="Cambria" w:cs="Cambria"/>
                <w:sz w:val="18"/>
              </w:rPr>
              <w:t>GDP Growth Rate (%)</w:t>
            </w:r>
          </w:p>
        </w:tc>
        <w:tc>
          <w:tcPr>
            <w:tcW w:w="1232" w:type="dxa"/>
            <w:tcBorders>
              <w:top w:val="single" w:sz="4" w:space="0" w:color="FFFFFF"/>
              <w:left w:val="single" w:sz="4" w:space="0" w:color="FFFFFF"/>
              <w:bottom w:val="single" w:sz="4" w:space="0" w:color="FFFFFF"/>
              <w:right w:val="single" w:sz="4" w:space="0" w:color="FFFFFF"/>
            </w:tcBorders>
          </w:tcPr>
          <w:p w:rsidR="001C682A" w:rsidRDefault="00B03C38">
            <w:pPr>
              <w:spacing w:after="0" w:line="259" w:lineRule="auto"/>
              <w:ind w:left="1" w:firstLine="0"/>
              <w:jc w:val="center"/>
            </w:pPr>
            <w:r>
              <w:rPr>
                <w:rFonts w:ascii="Cambria" w:eastAsia="Cambria" w:hAnsi="Cambria" w:cs="Cambria"/>
                <w:sz w:val="18"/>
              </w:rPr>
              <w:t xml:space="preserve">                2.27</w:t>
            </w:r>
          </w:p>
        </w:tc>
        <w:tc>
          <w:tcPr>
            <w:tcW w:w="1231" w:type="dxa"/>
            <w:tcBorders>
              <w:top w:val="single" w:sz="4" w:space="0" w:color="FFFFFF"/>
              <w:left w:val="single" w:sz="4" w:space="0" w:color="FFFFFF"/>
              <w:bottom w:val="single" w:sz="4" w:space="0" w:color="FFFFFF"/>
              <w:right w:val="single" w:sz="4" w:space="0" w:color="FFFFFF"/>
            </w:tcBorders>
          </w:tcPr>
          <w:p w:rsidR="001C682A" w:rsidRDefault="00B03C38">
            <w:pPr>
              <w:spacing w:after="0" w:line="259" w:lineRule="auto"/>
              <w:ind w:left="0" w:right="1" w:firstLine="0"/>
              <w:jc w:val="right"/>
            </w:pPr>
            <w:r>
              <w:rPr>
                <w:rFonts w:ascii="Cambria" w:eastAsia="Cambria" w:hAnsi="Cambria" w:cs="Cambria"/>
                <w:sz w:val="18"/>
              </w:rPr>
              <w:t xml:space="preserve">              (4.20)</w:t>
            </w:r>
          </w:p>
        </w:tc>
        <w:tc>
          <w:tcPr>
            <w:tcW w:w="1253" w:type="dxa"/>
            <w:tcBorders>
              <w:top w:val="single" w:sz="4" w:space="0" w:color="FFFFFF"/>
              <w:left w:val="single" w:sz="4" w:space="0" w:color="FFFFFF"/>
              <w:bottom w:val="single" w:sz="4" w:space="0" w:color="FFFFFF"/>
              <w:right w:val="single" w:sz="4" w:space="0" w:color="FFFFFF"/>
            </w:tcBorders>
          </w:tcPr>
          <w:p w:rsidR="001C682A" w:rsidRDefault="00B03C38">
            <w:pPr>
              <w:spacing w:after="0" w:line="259" w:lineRule="auto"/>
              <w:ind w:left="1" w:firstLine="0"/>
              <w:jc w:val="center"/>
            </w:pPr>
            <w:r>
              <w:rPr>
                <w:rFonts w:ascii="Cambria" w:eastAsia="Cambria" w:hAnsi="Cambria" w:cs="Cambria"/>
                <w:sz w:val="18"/>
              </w:rPr>
              <w:t xml:space="preserve">                3.00</w:t>
            </w:r>
          </w:p>
        </w:tc>
        <w:tc>
          <w:tcPr>
            <w:tcW w:w="1221" w:type="dxa"/>
            <w:tcBorders>
              <w:top w:val="single" w:sz="4" w:space="0" w:color="FFFFFF"/>
              <w:left w:val="single" w:sz="4" w:space="0" w:color="FFFFFF"/>
              <w:bottom w:val="single" w:sz="4" w:space="0" w:color="FFFFFF"/>
              <w:right w:val="single" w:sz="4" w:space="0" w:color="FFFFFF"/>
            </w:tcBorders>
          </w:tcPr>
          <w:p w:rsidR="001C682A" w:rsidRDefault="00B03C38">
            <w:pPr>
              <w:spacing w:after="0" w:line="259" w:lineRule="auto"/>
              <w:ind w:left="1" w:firstLine="0"/>
              <w:jc w:val="center"/>
            </w:pPr>
            <w:r>
              <w:rPr>
                <w:rFonts w:ascii="Cambria" w:eastAsia="Cambria" w:hAnsi="Cambria" w:cs="Cambria"/>
                <w:sz w:val="18"/>
              </w:rPr>
              <w:t xml:space="preserve">               4.68</w:t>
            </w:r>
          </w:p>
        </w:tc>
        <w:tc>
          <w:tcPr>
            <w:tcW w:w="1276" w:type="dxa"/>
            <w:tcBorders>
              <w:top w:val="single" w:sz="4" w:space="0" w:color="FFFFFF"/>
              <w:left w:val="single" w:sz="4" w:space="0" w:color="FFFFFF"/>
              <w:bottom w:val="single" w:sz="4" w:space="0" w:color="FFFFFF"/>
              <w:right w:val="single" w:sz="4" w:space="0" w:color="FFFFFF"/>
            </w:tcBorders>
          </w:tcPr>
          <w:p w:rsidR="001C682A" w:rsidRDefault="00B03C38">
            <w:pPr>
              <w:spacing w:after="0" w:line="259" w:lineRule="auto"/>
              <w:ind w:left="0" w:firstLine="0"/>
              <w:jc w:val="center"/>
            </w:pPr>
            <w:r>
              <w:rPr>
                <w:rFonts w:ascii="Cambria" w:eastAsia="Cambria" w:hAnsi="Cambria" w:cs="Cambria"/>
                <w:sz w:val="18"/>
              </w:rPr>
              <w:t xml:space="preserve">                 3.86</w:t>
            </w:r>
          </w:p>
        </w:tc>
      </w:tr>
      <w:tr w:rsidR="001C682A">
        <w:trPr>
          <w:trHeight w:val="253"/>
        </w:trPr>
        <w:tc>
          <w:tcPr>
            <w:tcW w:w="2783" w:type="dxa"/>
            <w:tcBorders>
              <w:top w:val="single" w:sz="4" w:space="0" w:color="FFFFFF"/>
              <w:left w:val="single" w:sz="4" w:space="0" w:color="FFFFFF"/>
              <w:bottom w:val="single" w:sz="8" w:space="0" w:color="C00000"/>
              <w:right w:val="single" w:sz="4" w:space="0" w:color="FFFFFF"/>
            </w:tcBorders>
            <w:shd w:val="clear" w:color="auto" w:fill="EDEDED"/>
          </w:tcPr>
          <w:p w:rsidR="001C682A" w:rsidRDefault="00B03C38">
            <w:pPr>
              <w:spacing w:after="0" w:line="259" w:lineRule="auto"/>
              <w:ind w:left="0" w:firstLine="0"/>
              <w:jc w:val="left"/>
            </w:pPr>
            <w:r>
              <w:rPr>
                <w:rFonts w:ascii="Cambria" w:eastAsia="Cambria" w:hAnsi="Cambria" w:cs="Cambria"/>
                <w:sz w:val="18"/>
              </w:rPr>
              <w:t>Nominal Consumption (</w:t>
            </w:r>
            <w:proofErr w:type="spellStart"/>
            <w:r>
              <w:rPr>
                <w:rFonts w:ascii="Cambria" w:eastAsia="Cambria" w:hAnsi="Cambria" w:cs="Cambria"/>
                <w:sz w:val="18"/>
              </w:rPr>
              <w:t>N'bn</w:t>
            </w:r>
            <w:proofErr w:type="spellEnd"/>
            <w:r>
              <w:rPr>
                <w:rFonts w:ascii="Cambria" w:eastAsia="Cambria" w:hAnsi="Cambria" w:cs="Cambria"/>
                <w:sz w:val="18"/>
              </w:rPr>
              <w:t>)</w:t>
            </w:r>
          </w:p>
        </w:tc>
        <w:tc>
          <w:tcPr>
            <w:tcW w:w="1232" w:type="dxa"/>
            <w:tcBorders>
              <w:top w:val="single" w:sz="4" w:space="0" w:color="FFFFFF"/>
              <w:left w:val="single" w:sz="4" w:space="0" w:color="FFFFFF"/>
              <w:bottom w:val="single" w:sz="8" w:space="0" w:color="C00000"/>
              <w:right w:val="single" w:sz="4" w:space="0" w:color="FFFFFF"/>
            </w:tcBorders>
            <w:shd w:val="clear" w:color="auto" w:fill="EDEDED"/>
          </w:tcPr>
          <w:p w:rsidR="001C682A" w:rsidRDefault="00B03C38">
            <w:pPr>
              <w:spacing w:after="0" w:line="259" w:lineRule="auto"/>
              <w:ind w:left="77" w:firstLine="0"/>
              <w:jc w:val="left"/>
            </w:pPr>
            <w:r>
              <w:rPr>
                <w:rFonts w:ascii="Cambria" w:eastAsia="Cambria" w:hAnsi="Cambria" w:cs="Cambria"/>
                <w:sz w:val="18"/>
              </w:rPr>
              <w:t xml:space="preserve">     119,281.6</w:t>
            </w:r>
          </w:p>
        </w:tc>
        <w:tc>
          <w:tcPr>
            <w:tcW w:w="1231" w:type="dxa"/>
            <w:tcBorders>
              <w:top w:val="single" w:sz="4" w:space="0" w:color="FFFFFF"/>
              <w:left w:val="single" w:sz="4" w:space="0" w:color="FFFFFF"/>
              <w:bottom w:val="single" w:sz="8" w:space="0" w:color="C00000"/>
              <w:right w:val="single" w:sz="4" w:space="0" w:color="FFFFFF"/>
            </w:tcBorders>
            <w:shd w:val="clear" w:color="auto" w:fill="EDEDED"/>
          </w:tcPr>
          <w:p w:rsidR="001C682A" w:rsidRDefault="00B03C38">
            <w:pPr>
              <w:spacing w:after="0" w:line="259" w:lineRule="auto"/>
              <w:ind w:left="76" w:firstLine="0"/>
              <w:jc w:val="left"/>
            </w:pPr>
            <w:r>
              <w:rPr>
                <w:rFonts w:ascii="Cambria" w:eastAsia="Cambria" w:hAnsi="Cambria" w:cs="Cambria"/>
                <w:sz w:val="18"/>
              </w:rPr>
              <w:t xml:space="preserve">     117,913.7</w:t>
            </w:r>
          </w:p>
        </w:tc>
        <w:tc>
          <w:tcPr>
            <w:tcW w:w="1253" w:type="dxa"/>
            <w:tcBorders>
              <w:top w:val="single" w:sz="4" w:space="0" w:color="FFFFFF"/>
              <w:left w:val="single" w:sz="4" w:space="0" w:color="FFFFFF"/>
              <w:bottom w:val="single" w:sz="8" w:space="0" w:color="C00000"/>
              <w:right w:val="single" w:sz="4" w:space="0" w:color="FFFFFF"/>
            </w:tcBorders>
            <w:shd w:val="clear" w:color="auto" w:fill="EDEDED"/>
          </w:tcPr>
          <w:p w:rsidR="001C682A" w:rsidRDefault="00B03C38">
            <w:pPr>
              <w:spacing w:after="0" w:line="259" w:lineRule="auto"/>
              <w:ind w:left="76" w:firstLine="0"/>
              <w:jc w:val="left"/>
            </w:pPr>
            <w:r>
              <w:rPr>
                <w:rFonts w:ascii="Cambria" w:eastAsia="Cambria" w:hAnsi="Cambria" w:cs="Cambria"/>
                <w:sz w:val="18"/>
              </w:rPr>
              <w:t xml:space="preserve">     118,887.3</w:t>
            </w:r>
          </w:p>
        </w:tc>
        <w:tc>
          <w:tcPr>
            <w:tcW w:w="1221" w:type="dxa"/>
            <w:tcBorders>
              <w:top w:val="single" w:sz="4" w:space="0" w:color="FFFFFF"/>
              <w:left w:val="single" w:sz="4" w:space="0" w:color="FFFFFF"/>
              <w:bottom w:val="single" w:sz="8" w:space="0" w:color="C00000"/>
              <w:right w:val="single" w:sz="4" w:space="0" w:color="FFFFFF"/>
            </w:tcBorders>
            <w:shd w:val="clear" w:color="auto" w:fill="EDEDED"/>
          </w:tcPr>
          <w:p w:rsidR="001C682A" w:rsidRDefault="00B03C38">
            <w:pPr>
              <w:spacing w:after="0" w:line="259" w:lineRule="auto"/>
              <w:ind w:left="77" w:firstLine="0"/>
              <w:jc w:val="left"/>
            </w:pPr>
            <w:r>
              <w:rPr>
                <w:rFonts w:ascii="Cambria" w:eastAsia="Cambria" w:hAnsi="Cambria" w:cs="Cambria"/>
                <w:sz w:val="18"/>
              </w:rPr>
              <w:t xml:space="preserve">    120,835.4</w:t>
            </w:r>
          </w:p>
        </w:tc>
        <w:tc>
          <w:tcPr>
            <w:tcW w:w="1276" w:type="dxa"/>
            <w:tcBorders>
              <w:top w:val="single" w:sz="4" w:space="0" w:color="FFFFFF"/>
              <w:left w:val="single" w:sz="4" w:space="0" w:color="FFFFFF"/>
              <w:bottom w:val="single" w:sz="8" w:space="0" w:color="C00000"/>
              <w:right w:val="single" w:sz="4" w:space="0" w:color="FFFFFF"/>
            </w:tcBorders>
            <w:shd w:val="clear" w:color="auto" w:fill="EDEDED"/>
          </w:tcPr>
          <w:p w:rsidR="001C682A" w:rsidRDefault="00B03C38">
            <w:pPr>
              <w:spacing w:after="0" w:line="259" w:lineRule="auto"/>
              <w:ind w:left="76" w:firstLine="0"/>
              <w:jc w:val="left"/>
            </w:pPr>
            <w:r>
              <w:rPr>
                <w:rFonts w:ascii="Cambria" w:eastAsia="Cambria" w:hAnsi="Cambria" w:cs="Cambria"/>
                <w:sz w:val="18"/>
              </w:rPr>
              <w:t xml:space="preserve">      125,157.3</w:t>
            </w:r>
          </w:p>
        </w:tc>
      </w:tr>
    </w:tbl>
    <w:p w:rsidR="001C682A" w:rsidRDefault="00B03C38">
      <w:pPr>
        <w:spacing w:after="60" w:line="259" w:lineRule="auto"/>
        <w:ind w:left="213"/>
        <w:jc w:val="left"/>
      </w:pPr>
      <w:r>
        <w:rPr>
          <w:b/>
          <w:i/>
          <w:sz w:val="18"/>
        </w:rPr>
        <w:t>Source</w:t>
      </w:r>
      <w:r>
        <w:rPr>
          <w:i/>
          <w:sz w:val="18"/>
        </w:rPr>
        <w:t>: Ministry of Finance, Budget &amp; National Planning; NNPC; BOF; NBS</w:t>
      </w:r>
      <w:r>
        <w:rPr>
          <w:b/>
          <w:i/>
          <w:sz w:val="18"/>
        </w:rPr>
        <w:t xml:space="preserve"> </w:t>
      </w:r>
    </w:p>
    <w:p w:rsidR="001C682A" w:rsidRDefault="00B03C38">
      <w:pPr>
        <w:spacing w:after="0" w:line="259" w:lineRule="auto"/>
        <w:ind w:left="218" w:firstLine="0"/>
        <w:jc w:val="left"/>
      </w:pPr>
      <w:r>
        <w:rPr>
          <w:rFonts w:ascii="Franklin Gothic Book" w:eastAsia="Franklin Gothic Book" w:hAnsi="Franklin Gothic Book" w:cs="Franklin Gothic Book"/>
          <w:sz w:val="24"/>
        </w:rPr>
        <w:t>*</w:t>
      </w:r>
      <w:r>
        <w:rPr>
          <w:sz w:val="18"/>
        </w:rPr>
        <w:t>Base Production Including Condensate</w:t>
      </w:r>
      <w:r>
        <w:rPr>
          <w:rFonts w:ascii="Franklin Gothic Book" w:eastAsia="Franklin Gothic Book" w:hAnsi="Franklin Gothic Book" w:cs="Franklin Gothic Book"/>
          <w:sz w:val="24"/>
        </w:rPr>
        <w:t xml:space="preserve"> </w:t>
      </w:r>
    </w:p>
    <w:bookmarkEnd w:id="52"/>
    <w:p w:rsidR="001D1C68" w:rsidRDefault="00B03C38">
      <w:pPr>
        <w:spacing w:after="173"/>
        <w:ind w:left="236" w:right="816"/>
      </w:pPr>
      <w:r>
        <w:t>Oi</w:t>
      </w:r>
    </w:p>
    <w:tbl>
      <w:tblPr>
        <w:tblStyle w:val="TableGrid"/>
        <w:tblW w:w="8996" w:type="dxa"/>
        <w:tblInd w:w="226" w:type="dxa"/>
        <w:tblCellMar>
          <w:top w:w="52" w:type="dxa"/>
          <w:left w:w="36" w:type="dxa"/>
          <w:right w:w="38" w:type="dxa"/>
        </w:tblCellMar>
        <w:tblLook w:val="04A0" w:firstRow="1" w:lastRow="0" w:firstColumn="1" w:lastColumn="0" w:noHBand="0" w:noVBand="1"/>
      </w:tblPr>
      <w:tblGrid>
        <w:gridCol w:w="2223"/>
        <w:gridCol w:w="2263"/>
        <w:gridCol w:w="2205"/>
        <w:gridCol w:w="2305"/>
      </w:tblGrid>
      <w:tr w:rsidR="001D1C68" w:rsidTr="00497F9F">
        <w:trPr>
          <w:trHeight w:val="246"/>
        </w:trPr>
        <w:tc>
          <w:tcPr>
            <w:tcW w:w="1231" w:type="dxa"/>
            <w:tcBorders>
              <w:top w:val="single" w:sz="4" w:space="0" w:color="FFFFFF"/>
              <w:left w:val="single" w:sz="4" w:space="0" w:color="FFFFFF"/>
              <w:bottom w:val="single" w:sz="4" w:space="0" w:color="FFFFFF"/>
              <w:right w:val="single" w:sz="4" w:space="0" w:color="FFFFFF"/>
            </w:tcBorders>
            <w:shd w:val="clear" w:color="auto" w:fill="EDEDED"/>
          </w:tcPr>
          <w:p w:rsidR="001D1C68" w:rsidRDefault="001D1C68" w:rsidP="00497F9F">
            <w:pPr>
              <w:spacing w:after="0" w:line="259" w:lineRule="auto"/>
              <w:ind w:left="76" w:firstLine="0"/>
              <w:jc w:val="left"/>
            </w:pPr>
            <w:r>
              <w:rPr>
                <w:rFonts w:ascii="Cambria" w:eastAsia="Cambria" w:hAnsi="Cambria" w:cs="Cambria"/>
                <w:sz w:val="18"/>
              </w:rPr>
              <w:t xml:space="preserve">             360.0</w:t>
            </w:r>
          </w:p>
        </w:tc>
        <w:tc>
          <w:tcPr>
            <w:tcW w:w="1253" w:type="dxa"/>
            <w:tcBorders>
              <w:top w:val="single" w:sz="4" w:space="0" w:color="FFFFFF"/>
              <w:left w:val="single" w:sz="4" w:space="0" w:color="FFFFFF"/>
              <w:bottom w:val="single" w:sz="4" w:space="0" w:color="FFFFFF"/>
              <w:right w:val="single" w:sz="4" w:space="0" w:color="FFFFFF"/>
            </w:tcBorders>
            <w:shd w:val="clear" w:color="auto" w:fill="EDEDED"/>
          </w:tcPr>
          <w:p w:rsidR="001D1C68" w:rsidRDefault="001D1C68" w:rsidP="00497F9F">
            <w:pPr>
              <w:spacing w:after="0" w:line="259" w:lineRule="auto"/>
              <w:ind w:left="1" w:firstLine="0"/>
              <w:jc w:val="center"/>
            </w:pPr>
            <w:r>
              <w:rPr>
                <w:rFonts w:ascii="Cambria" w:eastAsia="Cambria" w:hAnsi="Cambria" w:cs="Cambria"/>
                <w:sz w:val="18"/>
              </w:rPr>
              <w:t xml:space="preserve">              360.0</w:t>
            </w:r>
          </w:p>
        </w:tc>
        <w:tc>
          <w:tcPr>
            <w:tcW w:w="1221" w:type="dxa"/>
            <w:tcBorders>
              <w:top w:val="single" w:sz="4" w:space="0" w:color="FFFFFF"/>
              <w:left w:val="single" w:sz="4" w:space="0" w:color="FFFFFF"/>
              <w:bottom w:val="single" w:sz="4" w:space="0" w:color="FFFFFF"/>
              <w:right w:val="single" w:sz="4" w:space="0" w:color="FFFFFF"/>
            </w:tcBorders>
            <w:shd w:val="clear" w:color="auto" w:fill="EDEDED"/>
          </w:tcPr>
          <w:p w:rsidR="001D1C68" w:rsidRDefault="001D1C68" w:rsidP="00497F9F">
            <w:pPr>
              <w:spacing w:after="0" w:line="259" w:lineRule="auto"/>
              <w:ind w:left="77" w:firstLine="0"/>
              <w:jc w:val="left"/>
            </w:pPr>
            <w:r>
              <w:rPr>
                <w:rFonts w:ascii="Cambria" w:eastAsia="Cambria" w:hAnsi="Cambria" w:cs="Cambria"/>
                <w:sz w:val="18"/>
              </w:rPr>
              <w:t xml:space="preserve">             360.0</w:t>
            </w:r>
          </w:p>
        </w:tc>
        <w:tc>
          <w:tcPr>
            <w:tcW w:w="1276" w:type="dxa"/>
            <w:tcBorders>
              <w:top w:val="single" w:sz="4" w:space="0" w:color="FFFFFF"/>
              <w:left w:val="single" w:sz="4" w:space="0" w:color="FFFFFF"/>
              <w:bottom w:val="single" w:sz="4" w:space="0" w:color="FFFFFF"/>
              <w:right w:val="single" w:sz="4" w:space="0" w:color="FFFFFF"/>
            </w:tcBorders>
            <w:shd w:val="clear" w:color="auto" w:fill="EDEDED"/>
          </w:tcPr>
          <w:p w:rsidR="001D1C68" w:rsidRDefault="001D1C68" w:rsidP="00497F9F">
            <w:pPr>
              <w:spacing w:after="0" w:line="259" w:lineRule="auto"/>
              <w:ind w:left="0" w:right="1" w:firstLine="0"/>
              <w:jc w:val="center"/>
            </w:pPr>
            <w:r>
              <w:rPr>
                <w:rFonts w:ascii="Cambria" w:eastAsia="Cambria" w:hAnsi="Cambria" w:cs="Cambria"/>
                <w:sz w:val="18"/>
              </w:rPr>
              <w:t xml:space="preserve">              360.0</w:t>
            </w:r>
          </w:p>
        </w:tc>
      </w:tr>
    </w:tbl>
    <w:p w:rsidR="001C682A" w:rsidRDefault="00B03C38">
      <w:pPr>
        <w:spacing w:after="173"/>
        <w:ind w:left="236" w:right="816"/>
      </w:pPr>
      <w:r>
        <w:t xml:space="preserve">l GDP growth rate has a strong positive correlation with real GDP growth in Nigeria. Consequently, changes in the underlying drivers of oil GPD will significantly affect real GDP performance. With oil price projected to remain low and volatile in 2020 and Nigeria’s compliance with the OPEC+ cuts by reducing base production to 1.412 </w:t>
      </w:r>
      <w:proofErr w:type="spellStart"/>
      <w:r>
        <w:t>mbpd</w:t>
      </w:r>
      <w:proofErr w:type="spellEnd"/>
      <w:r>
        <w:t xml:space="preserve">, 1.496mbpd and </w:t>
      </w:r>
      <w:r>
        <w:lastRenderedPageBreak/>
        <w:t xml:space="preserve">1.579 </w:t>
      </w:r>
      <w:proofErr w:type="spellStart"/>
      <w:r>
        <w:t>mbpd</w:t>
      </w:r>
      <w:proofErr w:type="spellEnd"/>
      <w:r>
        <w:t xml:space="preserve"> for the corresponding periods, growth in Oil GDP is expected to decline in 2020. Oil GDP is expected to contract by 12.96% in 2020, year on year, causing an economy-wide drag resulting in slower growth in non-oil GDP by -3.6%, year on year. Based on this real GDP is expected to decline by 4.20% in 2020.  </w:t>
      </w:r>
    </w:p>
    <w:p w:rsidR="001C682A" w:rsidRDefault="00B03C38">
      <w:pPr>
        <w:spacing w:after="173"/>
        <w:ind w:left="236" w:right="816"/>
      </w:pPr>
      <w:r>
        <w:t xml:space="preserve">As the global economy recovers from the effects of lockdowns, improved oil prices, as well as stronger global demand for oil in 2021 will result in oil GDP growing by nearly 8%. This is also reflective of the base effect resulting from the preceding year’s sharp drop in oil GDP in 2020. By 2022, stable production and prices bring oil GDP to just about its pre-COVID-19 crisis. </w:t>
      </w:r>
    </w:p>
    <w:p w:rsidR="001C682A" w:rsidRDefault="00B03C38">
      <w:pPr>
        <w:spacing w:after="173"/>
        <w:ind w:left="236" w:right="816"/>
      </w:pPr>
      <w:r>
        <w:t xml:space="preserve">The recovery in oil GDP translates to a weaker but positive growth in non-oil GDP in 2021. Year on year, non-oil sector growth is projected at 2.43% in 2021, 4.42% in 2022 and 3.82% in 2023. As a result, annual real GDP growth is forecast to recover in 2021 to 3.0% and reaching 4.68% by 2022, fully recovering to pre-crisis levels within the immediate post-crisis years, before stabilizing at 3.86% growth rate by 2023.  </w:t>
      </w:r>
    </w:p>
    <w:p w:rsidR="001C682A" w:rsidRDefault="00B03C38">
      <w:pPr>
        <w:spacing w:after="372"/>
        <w:ind w:left="236" w:right="816"/>
      </w:pPr>
      <w:r>
        <w:t xml:space="preserve">The nominal GDP is expected to increase from N139,517 billion in 2020 to N142,192.1 billion in 2021 and then up to N150,497.7 billion in 2023. Similarly, consumption expenditure is projected to stay flat at N117.913.7 billion in 2020 and N118,887.3 billion in 2021 and grow to N125,157.3 billion by 2023, reflecting a gradual steadiness in the growth recovery. Inflation, however, is expected to remain slightly above single digit over the medium term. </w:t>
      </w:r>
    </w:p>
    <w:p w:rsidR="001C682A" w:rsidRDefault="00B03C38">
      <w:pPr>
        <w:pStyle w:val="Heading3"/>
        <w:tabs>
          <w:tab w:val="center" w:pos="386"/>
          <w:tab w:val="center" w:pos="3796"/>
        </w:tabs>
        <w:spacing w:after="0" w:line="259" w:lineRule="auto"/>
        <w:ind w:left="0" w:firstLine="0"/>
      </w:pPr>
      <w:bookmarkStart w:id="53" w:name="_Toc389404"/>
      <w:r>
        <w:rPr>
          <w:rFonts w:ascii="Calibri" w:eastAsia="Calibri" w:hAnsi="Calibri" w:cs="Calibri"/>
          <w:color w:val="000000"/>
          <w:sz w:val="22"/>
        </w:rPr>
        <w:tab/>
      </w:r>
      <w:r>
        <w:rPr>
          <w:rFonts w:ascii="Arial" w:eastAsia="Arial" w:hAnsi="Arial" w:cs="Arial"/>
          <w:b/>
          <w:sz w:val="24"/>
        </w:rPr>
        <w:t xml:space="preserve">6.2 </w:t>
      </w:r>
      <w:r>
        <w:rPr>
          <w:rFonts w:ascii="Arial" w:eastAsia="Arial" w:hAnsi="Arial" w:cs="Arial"/>
          <w:b/>
          <w:sz w:val="24"/>
        </w:rPr>
        <w:tab/>
        <w:t xml:space="preserve">2020-2022 Medium Term Fiscal Framework (MTFF) </w:t>
      </w:r>
      <w:bookmarkEnd w:id="53"/>
    </w:p>
    <w:p w:rsidR="001C682A" w:rsidRDefault="00B03C38">
      <w:pPr>
        <w:spacing w:after="192"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27165" name="Group 327165"/>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759" name="Shape 395759"/>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27165" style="width:453.91pt;height:0.480011pt;mso-position-horizontal-relative:char;mso-position-vertical-relative:line" coordsize="57646,60">
                <v:shape id="Shape 395760"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pStyle w:val="Heading4"/>
        <w:spacing w:after="134" w:line="259" w:lineRule="auto"/>
        <w:ind w:left="218" w:firstLine="0"/>
      </w:pPr>
      <w:bookmarkStart w:id="54" w:name="_Toc389405"/>
      <w:r>
        <w:rPr>
          <w:rFonts w:ascii="Arial" w:eastAsia="Arial" w:hAnsi="Arial" w:cs="Arial"/>
          <w:b/>
          <w:color w:val="1F3763"/>
          <w:sz w:val="24"/>
        </w:rPr>
        <w:t>6.2.1 Federation Account Revenues</w:t>
      </w:r>
      <w:r>
        <w:rPr>
          <w:rFonts w:ascii="Calibri" w:eastAsia="Calibri" w:hAnsi="Calibri" w:cs="Calibri"/>
          <w:color w:val="1F3763"/>
          <w:sz w:val="24"/>
        </w:rPr>
        <w:t xml:space="preserve"> </w:t>
      </w:r>
      <w:bookmarkEnd w:id="54"/>
    </w:p>
    <w:p w:rsidR="001C682A" w:rsidRDefault="00B03C38">
      <w:pPr>
        <w:spacing w:after="173"/>
        <w:ind w:left="236" w:right="816"/>
      </w:pPr>
      <w:r>
        <w:t xml:space="preserve">Based on the key parameters and other macroeconomic projections, the net amounts accruable to the Main Pool and VAT Pool Federation Account are projected at N6.67 trillion and N1.70 trillion respectively in 2021. The share of oil revenue is about 61.3% of Federation Account receipts. Other components of the Federation Account revenues include revenues from Corporate Tax N1.41 trillion, Customs Revenue N1.05 trillion, Special Levies N124.76 billion, and Solid Minerals N5.46 billion. </w:t>
      </w:r>
    </w:p>
    <w:p w:rsidR="001C682A" w:rsidRDefault="00B03C38">
      <w:pPr>
        <w:spacing w:after="150"/>
        <w:ind w:left="236" w:right="816"/>
      </w:pPr>
      <w:r>
        <w:t xml:space="preserve">The share of the Federal Government from the Main Federation Account Pool is N3.52 trillion while the States and Local governments are projected to get N1.78 trillion and N1.37 billion, respectively in 2021. For VAT, the Federal Government is projected to receive N255.46 billion, the States N851.52 trillion, and the Local governments N596.07 billion. </w:t>
      </w:r>
    </w:p>
    <w:p w:rsidR="001C682A" w:rsidRDefault="00B03C38">
      <w:pPr>
        <w:spacing w:after="102" w:line="259" w:lineRule="auto"/>
        <w:ind w:left="218" w:firstLine="0"/>
        <w:jc w:val="left"/>
      </w:pPr>
      <w:r>
        <w:rPr>
          <w:rFonts w:ascii="Franklin Gothic Book" w:eastAsia="Franklin Gothic Book" w:hAnsi="Franklin Gothic Book" w:cs="Franklin Gothic Book"/>
          <w:sz w:val="20"/>
        </w:rPr>
        <w:t xml:space="preserve"> </w:t>
      </w:r>
    </w:p>
    <w:p w:rsidR="001C682A" w:rsidRDefault="00B03C38">
      <w:pPr>
        <w:spacing w:after="104" w:line="259" w:lineRule="auto"/>
        <w:ind w:left="218" w:firstLine="0"/>
        <w:jc w:val="left"/>
      </w:pPr>
      <w:r>
        <w:rPr>
          <w:rFonts w:ascii="Franklin Gothic Book" w:eastAsia="Franklin Gothic Book" w:hAnsi="Franklin Gothic Book" w:cs="Franklin Gothic Book"/>
          <w:sz w:val="20"/>
        </w:rPr>
        <w:t xml:space="preserve"> </w:t>
      </w:r>
    </w:p>
    <w:p w:rsidR="001C682A" w:rsidRDefault="00B03C38">
      <w:pPr>
        <w:spacing w:after="102" w:line="259" w:lineRule="auto"/>
        <w:ind w:left="218" w:firstLine="0"/>
        <w:jc w:val="left"/>
      </w:pPr>
      <w:r>
        <w:rPr>
          <w:rFonts w:ascii="Franklin Gothic Book" w:eastAsia="Franklin Gothic Book" w:hAnsi="Franklin Gothic Book" w:cs="Franklin Gothic Book"/>
          <w:sz w:val="20"/>
        </w:rPr>
        <w:t xml:space="preserve"> </w:t>
      </w:r>
    </w:p>
    <w:p w:rsidR="001C682A" w:rsidRDefault="00B03C38">
      <w:pPr>
        <w:spacing w:after="104" w:line="259" w:lineRule="auto"/>
        <w:ind w:left="218" w:firstLine="0"/>
        <w:jc w:val="left"/>
      </w:pPr>
      <w:r>
        <w:rPr>
          <w:rFonts w:ascii="Franklin Gothic Book" w:eastAsia="Franklin Gothic Book" w:hAnsi="Franklin Gothic Book" w:cs="Franklin Gothic Book"/>
          <w:sz w:val="20"/>
        </w:rPr>
        <w:t xml:space="preserve"> </w:t>
      </w:r>
    </w:p>
    <w:p w:rsidR="001C682A" w:rsidRDefault="00B03C38">
      <w:pPr>
        <w:spacing w:after="102" w:line="259" w:lineRule="auto"/>
        <w:ind w:left="218" w:firstLine="0"/>
        <w:jc w:val="left"/>
      </w:pPr>
      <w:r>
        <w:rPr>
          <w:rFonts w:ascii="Franklin Gothic Book" w:eastAsia="Franklin Gothic Book" w:hAnsi="Franklin Gothic Book" w:cs="Franklin Gothic Book"/>
          <w:sz w:val="20"/>
        </w:rPr>
        <w:t xml:space="preserve"> </w:t>
      </w:r>
    </w:p>
    <w:p w:rsidR="001C682A" w:rsidRDefault="00B03C38">
      <w:pPr>
        <w:spacing w:after="104" w:line="259" w:lineRule="auto"/>
        <w:ind w:left="218" w:firstLine="0"/>
        <w:jc w:val="left"/>
      </w:pPr>
      <w:r>
        <w:rPr>
          <w:rFonts w:ascii="Franklin Gothic Book" w:eastAsia="Franklin Gothic Book" w:hAnsi="Franklin Gothic Book" w:cs="Franklin Gothic Book"/>
          <w:sz w:val="20"/>
        </w:rPr>
        <w:t xml:space="preserve"> </w:t>
      </w:r>
    </w:p>
    <w:p w:rsidR="001C682A" w:rsidRDefault="00B03C38">
      <w:pPr>
        <w:spacing w:after="101" w:line="259" w:lineRule="auto"/>
        <w:ind w:left="218" w:firstLine="0"/>
        <w:jc w:val="left"/>
      </w:pPr>
      <w:r>
        <w:rPr>
          <w:rFonts w:ascii="Franklin Gothic Book" w:eastAsia="Franklin Gothic Book" w:hAnsi="Franklin Gothic Book" w:cs="Franklin Gothic Book"/>
          <w:sz w:val="20"/>
        </w:rPr>
        <w:t xml:space="preserve"> </w:t>
      </w:r>
    </w:p>
    <w:p w:rsidR="000F12D5" w:rsidRDefault="000F12D5">
      <w:pPr>
        <w:spacing w:after="0" w:line="259" w:lineRule="auto"/>
        <w:ind w:left="218" w:firstLine="0"/>
        <w:jc w:val="left"/>
        <w:rPr>
          <w:rFonts w:ascii="Franklin Gothic Book" w:eastAsia="Franklin Gothic Book" w:hAnsi="Franklin Gothic Book" w:cs="Franklin Gothic Book"/>
          <w:sz w:val="20"/>
        </w:rPr>
      </w:pPr>
    </w:p>
    <w:p w:rsidR="000F12D5" w:rsidRDefault="000F12D5">
      <w:pPr>
        <w:spacing w:after="0" w:line="259" w:lineRule="auto"/>
        <w:ind w:left="218" w:firstLine="0"/>
        <w:jc w:val="left"/>
        <w:rPr>
          <w:rFonts w:ascii="Franklin Gothic Book" w:eastAsia="Franklin Gothic Book" w:hAnsi="Franklin Gothic Book" w:cs="Franklin Gothic Book"/>
          <w:sz w:val="20"/>
        </w:rPr>
      </w:pPr>
    </w:p>
    <w:p w:rsidR="000F12D5" w:rsidRDefault="000F12D5">
      <w:pPr>
        <w:spacing w:after="0" w:line="259" w:lineRule="auto"/>
        <w:ind w:left="218" w:firstLine="0"/>
        <w:jc w:val="left"/>
        <w:rPr>
          <w:rFonts w:ascii="Franklin Gothic Book" w:eastAsia="Franklin Gothic Book" w:hAnsi="Franklin Gothic Book" w:cs="Franklin Gothic Book"/>
          <w:sz w:val="20"/>
        </w:rPr>
      </w:pPr>
    </w:p>
    <w:p w:rsidR="000F12D5" w:rsidRDefault="000F12D5">
      <w:pPr>
        <w:spacing w:after="0" w:line="259" w:lineRule="auto"/>
        <w:ind w:left="218" w:firstLine="0"/>
        <w:jc w:val="left"/>
        <w:rPr>
          <w:rFonts w:ascii="Franklin Gothic Book" w:eastAsia="Franklin Gothic Book" w:hAnsi="Franklin Gothic Book" w:cs="Franklin Gothic Book"/>
          <w:sz w:val="20"/>
        </w:rPr>
      </w:pPr>
    </w:p>
    <w:p w:rsidR="001C682A" w:rsidRDefault="00B03C38">
      <w:pPr>
        <w:spacing w:after="0" w:line="259" w:lineRule="auto"/>
        <w:ind w:left="218" w:firstLine="0"/>
        <w:jc w:val="left"/>
      </w:pPr>
      <w:r>
        <w:rPr>
          <w:rFonts w:ascii="Franklin Gothic Book" w:eastAsia="Franklin Gothic Book" w:hAnsi="Franklin Gothic Book" w:cs="Franklin Gothic Book"/>
          <w:sz w:val="20"/>
        </w:rPr>
        <w:t xml:space="preserve"> </w:t>
      </w:r>
    </w:p>
    <w:p w:rsidR="001C682A" w:rsidRDefault="00B03C38">
      <w:pPr>
        <w:spacing w:after="88" w:line="259" w:lineRule="auto"/>
        <w:ind w:left="213"/>
        <w:jc w:val="left"/>
      </w:pPr>
      <w:bookmarkStart w:id="55" w:name="_Hlk49583466"/>
      <w:r>
        <w:rPr>
          <w:rFonts w:ascii="Franklin Gothic Book" w:eastAsia="Franklin Gothic Book" w:hAnsi="Franklin Gothic Book" w:cs="Franklin Gothic Book"/>
          <w:sz w:val="20"/>
        </w:rPr>
        <w:t xml:space="preserve">Table 6.2: Federation Account and VAT Revenues (2021 – 2023) </w:t>
      </w:r>
    </w:p>
    <w:p w:rsidR="001C682A" w:rsidRDefault="00B03C38">
      <w:pPr>
        <w:spacing w:after="0" w:line="259" w:lineRule="auto"/>
        <w:ind w:left="0" w:right="823" w:firstLine="0"/>
        <w:jc w:val="right"/>
      </w:pPr>
      <w:r>
        <w:rPr>
          <w:noProof/>
        </w:rPr>
        <w:drawing>
          <wp:inline distT="0" distB="0" distL="0" distR="0">
            <wp:extent cx="5692140" cy="3002280"/>
            <wp:effectExtent l="0" t="0" r="0" b="0"/>
            <wp:docPr id="23583" name="Picture 23583"/>
            <wp:cNvGraphicFramePr/>
            <a:graphic xmlns:a="http://schemas.openxmlformats.org/drawingml/2006/main">
              <a:graphicData uri="http://schemas.openxmlformats.org/drawingml/2006/picture">
                <pic:pic xmlns:pic="http://schemas.openxmlformats.org/drawingml/2006/picture">
                  <pic:nvPicPr>
                    <pic:cNvPr id="23583" name="Picture 23583"/>
                    <pic:cNvPicPr/>
                  </pic:nvPicPr>
                  <pic:blipFill>
                    <a:blip r:embed="rId32"/>
                    <a:stretch>
                      <a:fillRect/>
                    </a:stretch>
                  </pic:blipFill>
                  <pic:spPr>
                    <a:xfrm>
                      <a:off x="0" y="0"/>
                      <a:ext cx="5692140" cy="3002280"/>
                    </a:xfrm>
                    <a:prstGeom prst="rect">
                      <a:avLst/>
                    </a:prstGeom>
                  </pic:spPr>
                </pic:pic>
              </a:graphicData>
            </a:graphic>
          </wp:inline>
        </w:drawing>
      </w:r>
      <w:r>
        <w:rPr>
          <w:rFonts w:ascii="Franklin Gothic Book" w:eastAsia="Franklin Gothic Book" w:hAnsi="Franklin Gothic Book" w:cs="Franklin Gothic Book"/>
          <w:sz w:val="24"/>
        </w:rPr>
        <w:t xml:space="preserve"> </w:t>
      </w:r>
    </w:p>
    <w:p w:rsidR="001C682A" w:rsidRDefault="00B03C38">
      <w:pPr>
        <w:pStyle w:val="Heading4"/>
        <w:spacing w:after="114" w:line="259" w:lineRule="auto"/>
        <w:ind w:left="218" w:firstLine="0"/>
      </w:pPr>
      <w:bookmarkStart w:id="56" w:name="_Toc389406"/>
      <w:r>
        <w:rPr>
          <w:rFonts w:ascii="Calibri" w:eastAsia="Calibri" w:hAnsi="Calibri" w:cs="Calibri"/>
          <w:color w:val="1F3763"/>
          <w:sz w:val="26"/>
        </w:rPr>
        <w:t xml:space="preserve">6.2.1 Revenue Framework </w:t>
      </w:r>
      <w:bookmarkEnd w:id="56"/>
    </w:p>
    <w:bookmarkEnd w:id="55"/>
    <w:p w:rsidR="001C682A" w:rsidRDefault="00B03C38">
      <w:pPr>
        <w:spacing w:after="209"/>
        <w:ind w:left="236" w:right="816"/>
      </w:pPr>
      <w:r>
        <w:t xml:space="preserve">The aggregate revenue available to fund the 2021 Budget is projected at N6.15 trillion (14.6% or N783.32 billion more than the 2020 revised Budget). Of this, N2.53 trillion or 41.1% is projected to come from oil related sources while the balance is to be earned from non-oil sources. The provision for Stamp Duty is projected at N500 billion, up from N200 billion, while Signature Bonus is down to N343.38 billion from the revised N350.52 billion in 2020. With the retained revenues of the Government-Owned Enterprises (GOEs), excluding the NNPC and CBN, the aggregate FGN revenue is projected at N7.50 trillion. </w:t>
      </w:r>
    </w:p>
    <w:p w:rsidR="001C682A" w:rsidRDefault="00B03C38">
      <w:pPr>
        <w:spacing w:after="122" w:line="259" w:lineRule="auto"/>
        <w:ind w:left="213"/>
        <w:jc w:val="left"/>
      </w:pPr>
      <w:bookmarkStart w:id="57" w:name="_Hlk49583529"/>
      <w:r>
        <w:rPr>
          <w:rFonts w:ascii="Franklin Gothic Book" w:eastAsia="Franklin Gothic Book" w:hAnsi="Franklin Gothic Book" w:cs="Franklin Gothic Book"/>
          <w:sz w:val="20"/>
        </w:rPr>
        <w:t xml:space="preserve">Table 6.3: Overview of the Revenue Framework </w:t>
      </w:r>
    </w:p>
    <w:p w:rsidR="001C682A" w:rsidRDefault="00B03C38">
      <w:pPr>
        <w:spacing w:after="0" w:line="259" w:lineRule="auto"/>
        <w:ind w:left="0" w:right="851" w:firstLine="0"/>
        <w:jc w:val="right"/>
      </w:pPr>
      <w:r>
        <w:rPr>
          <w:noProof/>
        </w:rPr>
        <w:drawing>
          <wp:inline distT="0" distB="0" distL="0" distR="0">
            <wp:extent cx="5676900" cy="3284220"/>
            <wp:effectExtent l="0" t="0" r="0" b="0"/>
            <wp:docPr id="23585" name="Picture 23585"/>
            <wp:cNvGraphicFramePr/>
            <a:graphic xmlns:a="http://schemas.openxmlformats.org/drawingml/2006/main">
              <a:graphicData uri="http://schemas.openxmlformats.org/drawingml/2006/picture">
                <pic:pic xmlns:pic="http://schemas.openxmlformats.org/drawingml/2006/picture">
                  <pic:nvPicPr>
                    <pic:cNvPr id="23585" name="Picture 23585"/>
                    <pic:cNvPicPr/>
                  </pic:nvPicPr>
                  <pic:blipFill>
                    <a:blip r:embed="rId33"/>
                    <a:stretch>
                      <a:fillRect/>
                    </a:stretch>
                  </pic:blipFill>
                  <pic:spPr>
                    <a:xfrm>
                      <a:off x="0" y="0"/>
                      <a:ext cx="5676900" cy="3284220"/>
                    </a:xfrm>
                    <a:prstGeom prst="rect">
                      <a:avLst/>
                    </a:prstGeom>
                  </pic:spPr>
                </pic:pic>
              </a:graphicData>
            </a:graphic>
          </wp:inline>
        </w:drawing>
      </w:r>
      <w:r>
        <w:t xml:space="preserve"> </w:t>
      </w:r>
    </w:p>
    <w:p w:rsidR="001C682A" w:rsidRDefault="00B03C38">
      <w:pPr>
        <w:pStyle w:val="Heading4"/>
        <w:tabs>
          <w:tab w:val="center" w:pos="460"/>
          <w:tab w:val="center" w:pos="2333"/>
        </w:tabs>
        <w:spacing w:after="138" w:line="259" w:lineRule="auto"/>
        <w:ind w:left="0" w:firstLine="0"/>
      </w:pPr>
      <w:bookmarkStart w:id="58" w:name="_Toc389407"/>
      <w:bookmarkEnd w:id="57"/>
      <w:r>
        <w:rPr>
          <w:rFonts w:ascii="Calibri" w:eastAsia="Calibri" w:hAnsi="Calibri" w:cs="Calibri"/>
          <w:color w:val="000000"/>
          <w:sz w:val="22"/>
        </w:rPr>
        <w:lastRenderedPageBreak/>
        <w:tab/>
      </w:r>
      <w:r>
        <w:rPr>
          <w:rFonts w:ascii="Calibri" w:eastAsia="Calibri" w:hAnsi="Calibri" w:cs="Calibri"/>
          <w:color w:val="1F3763"/>
          <w:sz w:val="24"/>
        </w:rPr>
        <w:t xml:space="preserve">6.2.2 </w:t>
      </w:r>
      <w:r>
        <w:rPr>
          <w:rFonts w:ascii="Calibri" w:eastAsia="Calibri" w:hAnsi="Calibri" w:cs="Calibri"/>
          <w:color w:val="1F3763"/>
          <w:sz w:val="24"/>
        </w:rPr>
        <w:tab/>
        <w:t xml:space="preserve">FGN Expenditure Framework </w:t>
      </w:r>
      <w:bookmarkEnd w:id="58"/>
    </w:p>
    <w:p w:rsidR="001C682A" w:rsidRDefault="00B03C38">
      <w:pPr>
        <w:pStyle w:val="Heading4"/>
        <w:tabs>
          <w:tab w:val="center" w:pos="460"/>
          <w:tab w:val="center" w:pos="2043"/>
        </w:tabs>
        <w:spacing w:after="138" w:line="259" w:lineRule="auto"/>
        <w:ind w:left="0" w:firstLine="0"/>
      </w:pPr>
      <w:bookmarkStart w:id="59" w:name="_Toc389408"/>
      <w:r>
        <w:rPr>
          <w:rFonts w:ascii="Calibri" w:eastAsia="Calibri" w:hAnsi="Calibri" w:cs="Calibri"/>
          <w:color w:val="000000"/>
          <w:sz w:val="22"/>
        </w:rPr>
        <w:tab/>
      </w:r>
      <w:r>
        <w:rPr>
          <w:rFonts w:ascii="Calibri" w:eastAsia="Calibri" w:hAnsi="Calibri" w:cs="Calibri"/>
          <w:color w:val="1F3763"/>
          <w:sz w:val="24"/>
        </w:rPr>
        <w:t xml:space="preserve">6.2.3 </w:t>
      </w:r>
      <w:r>
        <w:rPr>
          <w:rFonts w:ascii="Calibri" w:eastAsia="Calibri" w:hAnsi="Calibri" w:cs="Calibri"/>
          <w:color w:val="1F3763"/>
          <w:sz w:val="24"/>
        </w:rPr>
        <w:tab/>
        <w:t xml:space="preserve">Aggregate Expenditure  </w:t>
      </w:r>
      <w:bookmarkEnd w:id="59"/>
    </w:p>
    <w:p w:rsidR="001C682A" w:rsidRDefault="00B03C38">
      <w:pPr>
        <w:spacing w:after="173"/>
        <w:ind w:left="236" w:right="816"/>
      </w:pPr>
      <w:r>
        <w:t xml:space="preserve">The FGN’s 2021 aggregate expenditure is estimated at N12.66 trillion (this includes </w:t>
      </w:r>
      <w:proofErr w:type="spellStart"/>
      <w:r>
        <w:t>GOEs’</w:t>
      </w:r>
      <w:proofErr w:type="spellEnd"/>
      <w:r>
        <w:t xml:space="preserve"> expenditures of N1.35 trillion and grants/donor funded projects/programmes amounting to N337.06 billion). This provision is higher than the corresponding 2020 FGN aggregate expenditure estimate of N10.81 trillion by 17.1% (or about N1.85 trillion). The sums of N13.27 trillion and N13.37 trillion are projected to be spent by the FGN in 2022 and 2023 respectively. </w:t>
      </w:r>
    </w:p>
    <w:p w:rsidR="001C682A" w:rsidRDefault="00B03C38">
      <w:pPr>
        <w:spacing w:after="173"/>
        <w:ind w:left="236" w:right="816"/>
      </w:pPr>
      <w:r>
        <w:t xml:space="preserve">The 2021 expenditure estimate includes statutory transfers of N481.41 billion; non-debt recurrent expenditure of N5.75 trillion (including N350 billion for recurrent component of the Special Intervention Programme).  </w:t>
      </w:r>
    </w:p>
    <w:p w:rsidR="001C682A" w:rsidRDefault="00B03C38">
      <w:pPr>
        <w:spacing w:after="173"/>
        <w:ind w:left="236" w:right="816"/>
      </w:pPr>
      <w:r>
        <w:t xml:space="preserve">Of the 2021 budgeted expenditure, debt service is estimated at N3.12 trillion, and provision for Sinking Fund to retire maturing bonds issued to local contractors/creditors is N220 billion. A total of N4.31 trillion (inclusive of N701.16 for GOEs) is provided for personnel and pension costs, an increase of N724.67 billion over 2020. Personnel costs have continued to rise yearly, in great part to unrestrained recruitment by several agencies of government, oftentimes without compliance with the due process. At 70% of projected revenues for 2021, this level of personnel cost is not sustainable. </w:t>
      </w:r>
    </w:p>
    <w:p w:rsidR="001C682A" w:rsidRDefault="00B03C38">
      <w:pPr>
        <w:spacing w:after="173"/>
        <w:ind w:left="236" w:right="816"/>
      </w:pPr>
      <w:r>
        <w:t xml:space="preserve">In addition, N34.76 billion (representing 1% of the consolidated revenue fund) has been earmarked for the Basic Health Care Provision Fund (BHCPF) as a Statutory transfer. A provision of N29.46 billion has also been made for the North East Development Commission (NEDC) as a Statutory transfer and N45.19 billion has been set aside in the service-wide votes for GAVI/Routine Immunization.  </w:t>
      </w:r>
    </w:p>
    <w:p w:rsidR="001C682A" w:rsidRDefault="00B03C38">
      <w:pPr>
        <w:spacing w:after="176"/>
        <w:ind w:left="236" w:right="816"/>
      </w:pPr>
      <w:r>
        <w:t xml:space="preserve">Having made these provisions, the aggregate amount available for capital expenditures in the 2021 budget is N3.33 trillion, which represents 26.3% of total expenditure (short of the 30% target set by the current federal government), and is 24% higher than the 2020 provision of N2.69 trillion. The 2021 provision comprises of N1.48 trillion for MDAs, N234.20 billion capital </w:t>
      </w:r>
      <w:proofErr w:type="gramStart"/>
      <w:r>
        <w:t>supplementation</w:t>
      </w:r>
      <w:proofErr w:type="gramEnd"/>
      <w:r>
        <w:t xml:space="preserve">, N245.08 billion capital component of statutory transfers, N20 billion capital component of the Special Intervention Programme, N335.59 billion capital budget of GOEs, N337.06 billion for donor/grant funded expenditures and N674.10 billion funded by project-tied loans.  </w:t>
      </w:r>
    </w:p>
    <w:p w:rsidR="001C682A" w:rsidRDefault="00B03C38">
      <w:pPr>
        <w:spacing w:after="149"/>
        <w:ind w:left="236" w:right="816"/>
      </w:pPr>
      <w:r>
        <w:t xml:space="preserve">It is noteworthy that the N1.48 trillion available for MDAs’ capital is N135.0 billion (representing 10%) higher than the provision for MDAs in the revised 2020 Appropriation Act. The inadequate provision for development expenditure, and underperforming revenues, underscore the urgent need for new revenue sources, cost-saving measures and effective implementation of revenue growth initiatives. </w:t>
      </w:r>
    </w:p>
    <w:p w:rsidR="001C682A" w:rsidRDefault="00B03C38">
      <w:pPr>
        <w:spacing w:after="137" w:line="259" w:lineRule="auto"/>
        <w:ind w:left="218" w:firstLine="0"/>
        <w:jc w:val="left"/>
      </w:pPr>
      <w:r>
        <w:rPr>
          <w:rFonts w:ascii="Franklin Gothic Book" w:eastAsia="Franklin Gothic Book" w:hAnsi="Franklin Gothic Book" w:cs="Franklin Gothic Book"/>
          <w:sz w:val="20"/>
        </w:rPr>
        <w:t xml:space="preserve"> </w:t>
      </w:r>
    </w:p>
    <w:p w:rsidR="001C682A" w:rsidRDefault="00B03C38">
      <w:pPr>
        <w:spacing w:after="0" w:line="259" w:lineRule="auto"/>
        <w:ind w:left="218" w:firstLine="0"/>
        <w:jc w:val="left"/>
      </w:pPr>
      <w:r>
        <w:rPr>
          <w:sz w:val="24"/>
        </w:rPr>
        <w:t xml:space="preserve"> </w:t>
      </w:r>
      <w:r>
        <w:rPr>
          <w:sz w:val="24"/>
        </w:rPr>
        <w:tab/>
      </w:r>
      <w:r>
        <w:rPr>
          <w:rFonts w:ascii="Franklin Gothic Book" w:eastAsia="Franklin Gothic Book" w:hAnsi="Franklin Gothic Book" w:cs="Franklin Gothic Book"/>
          <w:sz w:val="20"/>
        </w:rPr>
        <w:t xml:space="preserve"> </w:t>
      </w:r>
    </w:p>
    <w:p w:rsidR="001C682A" w:rsidRDefault="00B03C38">
      <w:pPr>
        <w:spacing w:after="122" w:line="259" w:lineRule="auto"/>
        <w:ind w:left="213"/>
        <w:jc w:val="left"/>
      </w:pPr>
      <w:bookmarkStart w:id="60" w:name="_Hlk49583617"/>
      <w:r>
        <w:rPr>
          <w:rFonts w:ascii="Franklin Gothic Book" w:eastAsia="Franklin Gothic Book" w:hAnsi="Franklin Gothic Book" w:cs="Franklin Gothic Book"/>
          <w:sz w:val="20"/>
        </w:rPr>
        <w:t xml:space="preserve">Table 6.4: Overview of the Expenditure Framework </w:t>
      </w:r>
    </w:p>
    <w:p w:rsidR="001C682A" w:rsidRDefault="00B03C38">
      <w:pPr>
        <w:spacing w:after="0" w:line="259" w:lineRule="auto"/>
        <w:ind w:left="0" w:right="822" w:firstLine="0"/>
        <w:jc w:val="right"/>
      </w:pPr>
      <w:r>
        <w:rPr>
          <w:noProof/>
        </w:rPr>
        <w:lastRenderedPageBreak/>
        <w:drawing>
          <wp:inline distT="0" distB="0" distL="0" distR="0">
            <wp:extent cx="5692140" cy="3619500"/>
            <wp:effectExtent l="0" t="0" r="0" b="0"/>
            <wp:docPr id="24878" name="Picture 24878"/>
            <wp:cNvGraphicFramePr/>
            <a:graphic xmlns:a="http://schemas.openxmlformats.org/drawingml/2006/main">
              <a:graphicData uri="http://schemas.openxmlformats.org/drawingml/2006/picture">
                <pic:pic xmlns:pic="http://schemas.openxmlformats.org/drawingml/2006/picture">
                  <pic:nvPicPr>
                    <pic:cNvPr id="24878" name="Picture 24878"/>
                    <pic:cNvPicPr/>
                  </pic:nvPicPr>
                  <pic:blipFill>
                    <a:blip r:embed="rId34"/>
                    <a:stretch>
                      <a:fillRect/>
                    </a:stretch>
                  </pic:blipFill>
                  <pic:spPr>
                    <a:xfrm>
                      <a:off x="0" y="0"/>
                      <a:ext cx="5692140" cy="3619500"/>
                    </a:xfrm>
                    <a:prstGeom prst="rect">
                      <a:avLst/>
                    </a:prstGeom>
                  </pic:spPr>
                </pic:pic>
              </a:graphicData>
            </a:graphic>
          </wp:inline>
        </w:drawing>
      </w:r>
      <w:r>
        <w:t xml:space="preserve"> </w:t>
      </w:r>
    </w:p>
    <w:bookmarkEnd w:id="60"/>
    <w:p w:rsidR="001C682A" w:rsidRDefault="00B03C38">
      <w:pPr>
        <w:spacing w:after="4" w:line="259" w:lineRule="auto"/>
        <w:ind w:left="218" w:firstLine="0"/>
        <w:jc w:val="left"/>
      </w:pPr>
      <w:r>
        <w:t xml:space="preserve"> </w:t>
      </w:r>
    </w:p>
    <w:p w:rsidR="001C682A" w:rsidRDefault="00B03C38">
      <w:pPr>
        <w:spacing w:after="80" w:line="259" w:lineRule="auto"/>
        <w:ind w:left="218" w:firstLine="0"/>
        <w:jc w:val="left"/>
      </w:pPr>
      <w:r>
        <w:t xml:space="preserve"> </w:t>
      </w:r>
    </w:p>
    <w:p w:rsidR="001C682A" w:rsidRDefault="00B03C38">
      <w:pPr>
        <w:pStyle w:val="Heading4"/>
        <w:tabs>
          <w:tab w:val="center" w:pos="460"/>
          <w:tab w:val="center" w:pos="2573"/>
        </w:tabs>
        <w:spacing w:after="138" w:line="259" w:lineRule="auto"/>
        <w:ind w:left="0" w:firstLine="0"/>
      </w:pPr>
      <w:bookmarkStart w:id="61" w:name="_Toc389409"/>
      <w:r>
        <w:rPr>
          <w:rFonts w:ascii="Calibri" w:eastAsia="Calibri" w:hAnsi="Calibri" w:cs="Calibri"/>
          <w:color w:val="000000"/>
          <w:sz w:val="22"/>
        </w:rPr>
        <w:tab/>
      </w:r>
      <w:r>
        <w:rPr>
          <w:rFonts w:ascii="Calibri" w:eastAsia="Calibri" w:hAnsi="Calibri" w:cs="Calibri"/>
          <w:color w:val="1F3763"/>
          <w:sz w:val="24"/>
        </w:rPr>
        <w:t xml:space="preserve">6.2.4 </w:t>
      </w:r>
      <w:r>
        <w:rPr>
          <w:rFonts w:ascii="Calibri" w:eastAsia="Calibri" w:hAnsi="Calibri" w:cs="Calibri"/>
          <w:color w:val="1F3763"/>
          <w:sz w:val="24"/>
        </w:rPr>
        <w:tab/>
        <w:t xml:space="preserve">Fiscal Deficit and Deficit Financing </w:t>
      </w:r>
      <w:bookmarkEnd w:id="61"/>
    </w:p>
    <w:p w:rsidR="001C682A" w:rsidRDefault="00B03C38">
      <w:pPr>
        <w:spacing w:after="173"/>
        <w:ind w:left="236" w:right="816"/>
      </w:pPr>
      <w:r>
        <w:t xml:space="preserve">Budget deficit is projected to be N5.16 trillion in 2021 up from N4.98 trillion in 2020. This represents 3.62% of estimated GDP, well above the threshold of 3% stipulated in the Fiscal Responsibility Act (FRA), 2007. Unless we can find new revenue sources, given the limited scope for cost-cutting, it will not be feasible to keep budget deficits within the 3% target set in the Fiscal Responsibility Act 2007. </w:t>
      </w:r>
    </w:p>
    <w:p w:rsidR="001C682A" w:rsidRDefault="00B03C38">
      <w:pPr>
        <w:spacing w:after="173"/>
        <w:ind w:left="236" w:right="816"/>
      </w:pPr>
      <w:r>
        <w:t xml:space="preserve">The deficit will be financed by new foreign and domestic borrowings of N4.28 trillion, N205.15 billion from Privatization Proceeds, and N674.11 billion drawdowns on existing project-tied loans. </w:t>
      </w:r>
    </w:p>
    <w:p w:rsidR="001C682A" w:rsidRDefault="00B03C38">
      <w:pPr>
        <w:spacing w:after="149"/>
        <w:ind w:left="236" w:right="816"/>
      </w:pPr>
      <w:r>
        <w:t xml:space="preserve">The projected Debt Service/Revenue ratio at 47% (actual for 2019 was 58%) raises some concern about the sustainability of FGN debt. However, it is more indicative that the country is faced with a serious revenue problem rather than a classic debt problem. Efforts must therefore be geared towards tackling the revenue problem so it does not degenerate to a real debt sustainability issue. </w:t>
      </w:r>
    </w:p>
    <w:p w:rsidR="001C682A" w:rsidRDefault="00B03C38">
      <w:pPr>
        <w:spacing w:after="102" w:line="259" w:lineRule="auto"/>
        <w:ind w:left="218" w:firstLine="0"/>
        <w:jc w:val="left"/>
      </w:pPr>
      <w:r>
        <w:rPr>
          <w:rFonts w:ascii="Franklin Gothic Book" w:eastAsia="Franklin Gothic Book" w:hAnsi="Franklin Gothic Book" w:cs="Franklin Gothic Book"/>
          <w:sz w:val="20"/>
        </w:rPr>
        <w:t xml:space="preserve"> </w:t>
      </w:r>
    </w:p>
    <w:p w:rsidR="001C682A" w:rsidRDefault="00B03C38">
      <w:pPr>
        <w:spacing w:after="104" w:line="259" w:lineRule="auto"/>
        <w:ind w:left="218" w:firstLine="0"/>
        <w:jc w:val="left"/>
      </w:pPr>
      <w:r>
        <w:rPr>
          <w:rFonts w:ascii="Franklin Gothic Book" w:eastAsia="Franklin Gothic Book" w:hAnsi="Franklin Gothic Book" w:cs="Franklin Gothic Book"/>
          <w:sz w:val="20"/>
        </w:rPr>
        <w:t xml:space="preserve"> </w:t>
      </w:r>
    </w:p>
    <w:p w:rsidR="001C682A" w:rsidRDefault="00B03C38">
      <w:pPr>
        <w:spacing w:after="102" w:line="259" w:lineRule="auto"/>
        <w:ind w:left="218" w:firstLine="0"/>
        <w:jc w:val="left"/>
      </w:pPr>
      <w:r>
        <w:rPr>
          <w:rFonts w:ascii="Franklin Gothic Book" w:eastAsia="Franklin Gothic Book" w:hAnsi="Franklin Gothic Book" w:cs="Franklin Gothic Book"/>
          <w:sz w:val="20"/>
        </w:rPr>
        <w:t xml:space="preserve"> </w:t>
      </w:r>
    </w:p>
    <w:p w:rsidR="001C682A" w:rsidRDefault="00B03C38">
      <w:pPr>
        <w:spacing w:after="104" w:line="259" w:lineRule="auto"/>
        <w:ind w:left="218" w:firstLine="0"/>
        <w:jc w:val="left"/>
      </w:pPr>
      <w:r>
        <w:rPr>
          <w:rFonts w:ascii="Franklin Gothic Book" w:eastAsia="Franklin Gothic Book" w:hAnsi="Franklin Gothic Book" w:cs="Franklin Gothic Book"/>
          <w:sz w:val="20"/>
        </w:rPr>
        <w:t xml:space="preserve"> </w:t>
      </w:r>
    </w:p>
    <w:p w:rsidR="001C682A" w:rsidRDefault="00B03C38">
      <w:pPr>
        <w:spacing w:after="102" w:line="259" w:lineRule="auto"/>
        <w:ind w:left="218" w:firstLine="0"/>
        <w:jc w:val="left"/>
      </w:pPr>
      <w:r>
        <w:rPr>
          <w:rFonts w:ascii="Franklin Gothic Book" w:eastAsia="Franklin Gothic Book" w:hAnsi="Franklin Gothic Book" w:cs="Franklin Gothic Book"/>
          <w:sz w:val="20"/>
        </w:rPr>
        <w:t xml:space="preserve"> </w:t>
      </w:r>
    </w:p>
    <w:p w:rsidR="001C682A" w:rsidRDefault="00B03C38">
      <w:pPr>
        <w:spacing w:after="104" w:line="259" w:lineRule="auto"/>
        <w:ind w:left="218" w:firstLine="0"/>
        <w:jc w:val="left"/>
      </w:pPr>
      <w:r>
        <w:rPr>
          <w:rFonts w:ascii="Franklin Gothic Book" w:eastAsia="Franklin Gothic Book" w:hAnsi="Franklin Gothic Book" w:cs="Franklin Gothic Book"/>
          <w:sz w:val="20"/>
        </w:rPr>
        <w:t xml:space="preserve"> </w:t>
      </w:r>
    </w:p>
    <w:p w:rsidR="001C682A" w:rsidRDefault="00B03C38">
      <w:pPr>
        <w:spacing w:after="102" w:line="259" w:lineRule="auto"/>
        <w:ind w:left="218" w:firstLine="0"/>
        <w:jc w:val="left"/>
      </w:pPr>
      <w:r>
        <w:rPr>
          <w:rFonts w:ascii="Franklin Gothic Book" w:eastAsia="Franklin Gothic Book" w:hAnsi="Franklin Gothic Book" w:cs="Franklin Gothic Book"/>
          <w:sz w:val="20"/>
        </w:rPr>
        <w:t xml:space="preserve"> </w:t>
      </w:r>
    </w:p>
    <w:p w:rsidR="001C682A" w:rsidRDefault="00B03C38">
      <w:pPr>
        <w:spacing w:after="0" w:line="259" w:lineRule="auto"/>
        <w:ind w:left="218" w:firstLine="0"/>
        <w:jc w:val="left"/>
      </w:pPr>
      <w:r>
        <w:rPr>
          <w:rFonts w:ascii="Franklin Gothic Book" w:eastAsia="Franklin Gothic Book" w:hAnsi="Franklin Gothic Book" w:cs="Franklin Gothic Book"/>
          <w:sz w:val="20"/>
        </w:rPr>
        <w:t xml:space="preserve"> </w:t>
      </w:r>
    </w:p>
    <w:p w:rsidR="001C682A" w:rsidRDefault="00B03C38">
      <w:pPr>
        <w:spacing w:after="122" w:line="259" w:lineRule="auto"/>
        <w:ind w:left="213"/>
        <w:jc w:val="left"/>
      </w:pPr>
      <w:bookmarkStart w:id="62" w:name="_Hlk49583711"/>
      <w:r>
        <w:rPr>
          <w:rFonts w:ascii="Franklin Gothic Book" w:eastAsia="Franklin Gothic Book" w:hAnsi="Franklin Gothic Book" w:cs="Franklin Gothic Book"/>
          <w:sz w:val="20"/>
        </w:rPr>
        <w:lastRenderedPageBreak/>
        <w:t xml:space="preserve">Table 6.5: Deficit, Financing and Critical Ratios </w:t>
      </w:r>
    </w:p>
    <w:p w:rsidR="001C682A" w:rsidRDefault="00B03C38">
      <w:pPr>
        <w:spacing w:after="117" w:line="259" w:lineRule="auto"/>
        <w:ind w:left="0" w:right="791" w:firstLine="0"/>
        <w:jc w:val="right"/>
      </w:pPr>
      <w:r>
        <w:rPr>
          <w:noProof/>
        </w:rPr>
        <w:drawing>
          <wp:inline distT="0" distB="0" distL="0" distR="0">
            <wp:extent cx="5715000" cy="3436620"/>
            <wp:effectExtent l="0" t="0" r="0" b="0"/>
            <wp:docPr id="25349" name="Picture 25349"/>
            <wp:cNvGraphicFramePr/>
            <a:graphic xmlns:a="http://schemas.openxmlformats.org/drawingml/2006/main">
              <a:graphicData uri="http://schemas.openxmlformats.org/drawingml/2006/picture">
                <pic:pic xmlns:pic="http://schemas.openxmlformats.org/drawingml/2006/picture">
                  <pic:nvPicPr>
                    <pic:cNvPr id="25349" name="Picture 25349"/>
                    <pic:cNvPicPr/>
                  </pic:nvPicPr>
                  <pic:blipFill>
                    <a:blip r:embed="rId35"/>
                    <a:stretch>
                      <a:fillRect/>
                    </a:stretch>
                  </pic:blipFill>
                  <pic:spPr>
                    <a:xfrm>
                      <a:off x="0" y="0"/>
                      <a:ext cx="5715000" cy="3436620"/>
                    </a:xfrm>
                    <a:prstGeom prst="rect">
                      <a:avLst/>
                    </a:prstGeom>
                  </pic:spPr>
                </pic:pic>
              </a:graphicData>
            </a:graphic>
          </wp:inline>
        </w:drawing>
      </w:r>
      <w:r>
        <w:t xml:space="preserve"> </w:t>
      </w:r>
    </w:p>
    <w:p w:rsidR="001C682A" w:rsidRDefault="00B03C38">
      <w:pPr>
        <w:spacing w:after="122" w:line="259" w:lineRule="auto"/>
        <w:ind w:left="213"/>
        <w:jc w:val="left"/>
      </w:pPr>
      <w:r>
        <w:rPr>
          <w:rFonts w:ascii="Franklin Gothic Book" w:eastAsia="Franklin Gothic Book" w:hAnsi="Franklin Gothic Book" w:cs="Franklin Gothic Book"/>
          <w:sz w:val="20"/>
        </w:rPr>
        <w:t xml:space="preserve">The full Medium-Term Fiscal Framework (MTFF) is attached as annexure 1 to the 2021 – 2023 MTEF/FSP </w:t>
      </w:r>
    </w:p>
    <w:bookmarkEnd w:id="62"/>
    <w:p w:rsidR="001C682A" w:rsidRDefault="00B03C38">
      <w:pPr>
        <w:spacing w:after="447" w:line="259" w:lineRule="auto"/>
        <w:ind w:left="218" w:firstLine="0"/>
        <w:jc w:val="left"/>
      </w:pPr>
      <w:r>
        <w:t xml:space="preserve"> </w:t>
      </w:r>
    </w:p>
    <w:p w:rsidR="001C682A" w:rsidRDefault="00B03C38">
      <w:pPr>
        <w:pStyle w:val="Heading2"/>
        <w:tabs>
          <w:tab w:val="center" w:pos="418"/>
          <w:tab w:val="center" w:pos="4253"/>
        </w:tabs>
        <w:ind w:left="0" w:firstLine="0"/>
      </w:pPr>
      <w:bookmarkStart w:id="63" w:name="_Toc389410"/>
      <w:r>
        <w:rPr>
          <w:rFonts w:ascii="Calibri" w:eastAsia="Calibri" w:hAnsi="Calibri" w:cs="Calibri"/>
          <w:sz w:val="22"/>
        </w:rPr>
        <w:tab/>
      </w:r>
      <w:r>
        <w:t xml:space="preserve">7.0 </w:t>
      </w:r>
      <w:r>
        <w:tab/>
        <w:t xml:space="preserve">MEDIUM TERM OBJECTIVES, POLICIES AND STRATEGIES </w:t>
      </w:r>
      <w:bookmarkEnd w:id="63"/>
    </w:p>
    <w:p w:rsidR="001C682A" w:rsidRDefault="00B03C38">
      <w:pPr>
        <w:spacing w:after="249" w:line="259" w:lineRule="auto"/>
        <w:ind w:left="190" w:firstLine="0"/>
        <w:jc w:val="left"/>
      </w:pPr>
      <w:r>
        <w:rPr>
          <w:rFonts w:ascii="Calibri" w:eastAsia="Calibri" w:hAnsi="Calibri" w:cs="Calibri"/>
          <w:noProof/>
        </w:rPr>
        <mc:AlternateContent>
          <mc:Choice Requires="wpg">
            <w:drawing>
              <wp:inline distT="0" distB="0" distL="0" distR="0">
                <wp:extent cx="5764658" cy="18288"/>
                <wp:effectExtent l="0" t="0" r="0" b="0"/>
                <wp:docPr id="329039" name="Group 329039"/>
                <wp:cNvGraphicFramePr/>
                <a:graphic xmlns:a="http://schemas.openxmlformats.org/drawingml/2006/main">
                  <a:graphicData uri="http://schemas.microsoft.com/office/word/2010/wordprocessingGroup">
                    <wpg:wgp>
                      <wpg:cNvGrpSpPr/>
                      <wpg:grpSpPr>
                        <a:xfrm>
                          <a:off x="0" y="0"/>
                          <a:ext cx="5764658" cy="18288"/>
                          <a:chOff x="0" y="0"/>
                          <a:chExt cx="5764658" cy="18288"/>
                        </a:xfrm>
                      </wpg:grpSpPr>
                      <wps:wsp>
                        <wps:cNvPr id="395761" name="Shape 395761"/>
                        <wps:cNvSpPr/>
                        <wps:spPr>
                          <a:xfrm>
                            <a:off x="0" y="0"/>
                            <a:ext cx="5764658" cy="18288"/>
                          </a:xfrm>
                          <a:custGeom>
                            <a:avLst/>
                            <a:gdLst/>
                            <a:ahLst/>
                            <a:cxnLst/>
                            <a:rect l="0" t="0" r="0" b="0"/>
                            <a:pathLst>
                              <a:path w="5764658" h="18288">
                                <a:moveTo>
                                  <a:pt x="0" y="0"/>
                                </a:moveTo>
                                <a:lnTo>
                                  <a:pt x="5764658" y="0"/>
                                </a:lnTo>
                                <a:lnTo>
                                  <a:pt x="5764658" y="18288"/>
                                </a:lnTo>
                                <a:lnTo>
                                  <a:pt x="0" y="1828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29039" style="width:453.91pt;height:1.44pt;mso-position-horizontal-relative:char;mso-position-vertical-relative:line" coordsize="57646,182">
                <v:shape id="Shape 395762" style="position:absolute;width:57646;height:182;left:0;top:0;" coordsize="5764658,18288" path="m0,0l5764658,0l5764658,18288l0,18288l0,0">
                  <v:stroke weight="0pt" endcap="flat" joinstyle="miter" miterlimit="10" on="false" color="#000000" opacity="0"/>
                  <v:fill on="true" color="#000080"/>
                </v:shape>
              </v:group>
            </w:pict>
          </mc:Fallback>
        </mc:AlternateContent>
      </w:r>
    </w:p>
    <w:p w:rsidR="001C682A" w:rsidRDefault="00B03C38">
      <w:pPr>
        <w:spacing w:after="448"/>
        <w:ind w:left="236" w:right="816"/>
      </w:pPr>
      <w:r>
        <w:t xml:space="preserve">This Fiscal Strategy Paper highlights the macroeconomic objectives of the government over the period 2021-2023 and the policy measures to be implemented to achieve them. In the medium term, government aims at sustaining economic growth and facilitating economic recovery, supporting jobs creation, achieving macroeconomic stability and promoting poverty reduction and equity.  </w:t>
      </w:r>
    </w:p>
    <w:p w:rsidR="001C682A" w:rsidRDefault="00B03C38">
      <w:pPr>
        <w:pStyle w:val="Heading3"/>
        <w:tabs>
          <w:tab w:val="center" w:pos="415"/>
          <w:tab w:val="center" w:pos="3281"/>
        </w:tabs>
        <w:spacing w:after="0" w:line="259" w:lineRule="auto"/>
        <w:ind w:left="0" w:firstLine="0"/>
      </w:pPr>
      <w:bookmarkStart w:id="64" w:name="_Toc389411"/>
      <w:r>
        <w:rPr>
          <w:rFonts w:ascii="Calibri" w:eastAsia="Calibri" w:hAnsi="Calibri" w:cs="Calibri"/>
          <w:color w:val="000000"/>
          <w:sz w:val="22"/>
        </w:rPr>
        <w:tab/>
      </w:r>
      <w:r>
        <w:rPr>
          <w:b/>
        </w:rPr>
        <w:t xml:space="preserve">7.1 </w:t>
      </w:r>
      <w:r>
        <w:rPr>
          <w:b/>
        </w:rPr>
        <w:tab/>
        <w:t xml:space="preserve">Macroeconomic Policy Objectives </w:t>
      </w:r>
      <w:bookmarkEnd w:id="64"/>
    </w:p>
    <w:p w:rsidR="001C682A" w:rsidRDefault="00B03C38">
      <w:pPr>
        <w:spacing w:after="199"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29040" name="Group 329040"/>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763" name="Shape 395763"/>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29040" style="width:453.91pt;height:0.47998pt;mso-position-horizontal-relative:char;mso-position-vertical-relative:line" coordsize="57646,60">
                <v:shape id="Shape 395764"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spacing w:after="188"/>
        <w:ind w:left="236" w:right="816"/>
      </w:pPr>
      <w:r>
        <w:t>Government’s economic objectives</w:t>
      </w:r>
      <w:r>
        <w:rPr>
          <w:color w:val="FF0000"/>
        </w:rPr>
        <w:t xml:space="preserve"> </w:t>
      </w:r>
      <w:r>
        <w:t xml:space="preserve">include: </w:t>
      </w:r>
    </w:p>
    <w:p w:rsidR="001C682A" w:rsidRDefault="00B03C38">
      <w:pPr>
        <w:spacing w:after="188" w:line="273" w:lineRule="auto"/>
        <w:ind w:left="1025" w:right="1625"/>
        <w:jc w:val="left"/>
      </w:pPr>
      <w:proofErr w:type="spellStart"/>
      <w:r>
        <w:t>i</w:t>
      </w:r>
      <w:proofErr w:type="spellEnd"/>
      <w:r>
        <w:t xml:space="preserve">. </w:t>
      </w:r>
      <w:r>
        <w:tab/>
        <w:t xml:space="preserve">Improving and sustaining economic growth and ensuring inclusiveness; ii. </w:t>
      </w:r>
      <w:r>
        <w:tab/>
        <w:t xml:space="preserve">Supporting Employment Creation and Preserving Jobs; and iii. </w:t>
      </w:r>
      <w:r>
        <w:tab/>
        <w:t xml:space="preserve">Ensuring macroeconomic stability.  </w:t>
      </w:r>
    </w:p>
    <w:p w:rsidR="001C682A" w:rsidRDefault="00B03C38">
      <w:pPr>
        <w:spacing w:after="246"/>
        <w:ind w:left="236" w:right="816"/>
      </w:pPr>
      <w:r>
        <w:t xml:space="preserve">To achieve these objectives, fiscal, monetary and trade policies will need to be aligned and implemented in a very coordinated manner.  </w:t>
      </w:r>
    </w:p>
    <w:p w:rsidR="001C682A" w:rsidRDefault="00B03C38">
      <w:pPr>
        <w:pStyle w:val="Heading4"/>
        <w:spacing w:after="92" w:line="259" w:lineRule="auto"/>
        <w:ind w:left="213"/>
      </w:pPr>
      <w:bookmarkStart w:id="65" w:name="_Toc389412"/>
      <w:r>
        <w:rPr>
          <w:rFonts w:ascii="Calibri" w:eastAsia="Calibri" w:hAnsi="Calibri" w:cs="Calibri"/>
          <w:color w:val="1F3763"/>
        </w:rPr>
        <w:t xml:space="preserve">7.1.1 Sustaining Economic Growth and Ensuring Inclusiveness </w:t>
      </w:r>
      <w:bookmarkEnd w:id="65"/>
    </w:p>
    <w:p w:rsidR="001C682A" w:rsidRDefault="00B03C38">
      <w:pPr>
        <w:spacing w:after="208"/>
        <w:ind w:left="236" w:right="816"/>
      </w:pPr>
      <w:r>
        <w:t xml:space="preserve">In view of the COVID-19 Pandemic, the Nigerian economy is projected to recess in 2020, with real GDP growth now projected by the NBS to be -4.2%, as against the previous projection of </w:t>
      </w:r>
      <w:r>
        <w:lastRenderedPageBreak/>
        <w:t xml:space="preserve">2.93%. Therefore, the immediate concern of the Government of Nigeria is to boost the economy and ensure quick recovery from the effects of the COVID-19 Pandemic. In the medium term, focus is on sustaining and accelerating economic growth.  </w:t>
      </w:r>
    </w:p>
    <w:p w:rsidR="001C682A" w:rsidRDefault="00B03C38">
      <w:pPr>
        <w:spacing w:after="199"/>
        <w:ind w:left="236" w:right="816"/>
      </w:pPr>
      <w:r>
        <w:t>To forestall a deep and prolonged recession, critical and complementary measures are being introduced. The Government recently established a N500 billion COVID-19 Crisis Intervention Fund to address emerging and priority funding needs. The N500 billion</w:t>
      </w:r>
      <w:r>
        <w:rPr>
          <w:b/>
        </w:rPr>
        <w:t xml:space="preserve"> </w:t>
      </w:r>
      <w:r>
        <w:t xml:space="preserve">is proposed to be used for key programmes and projects including the following: </w:t>
      </w:r>
    </w:p>
    <w:p w:rsidR="001C682A" w:rsidRDefault="00B03C38">
      <w:pPr>
        <w:numPr>
          <w:ilvl w:val="0"/>
          <w:numId w:val="1"/>
        </w:numPr>
        <w:ind w:right="816" w:hanging="307"/>
      </w:pPr>
      <w:r>
        <w:t xml:space="preserve">N36 billion to support State Governments; </w:t>
      </w:r>
    </w:p>
    <w:p w:rsidR="001C682A" w:rsidRDefault="00B03C38">
      <w:pPr>
        <w:numPr>
          <w:ilvl w:val="0"/>
          <w:numId w:val="1"/>
        </w:numPr>
        <w:spacing w:after="0" w:line="259" w:lineRule="auto"/>
        <w:ind w:right="816" w:hanging="307"/>
      </w:pPr>
      <w:r>
        <w:t xml:space="preserve">N56.46 billion for </w:t>
      </w:r>
      <w:r>
        <w:rPr>
          <w:rFonts w:ascii="Century Gothic" w:eastAsia="Century Gothic" w:hAnsi="Century Gothic" w:cs="Century Gothic"/>
          <w:b/>
          <w:sz w:val="20"/>
        </w:rPr>
        <w:t>Jobs and Food for All: Agriculture and Food Security programme;</w:t>
      </w:r>
      <w:r>
        <w:t xml:space="preserve"> </w:t>
      </w:r>
    </w:p>
    <w:p w:rsidR="001C682A" w:rsidRDefault="00B03C38">
      <w:pPr>
        <w:numPr>
          <w:ilvl w:val="0"/>
          <w:numId w:val="1"/>
        </w:numPr>
        <w:ind w:right="816" w:hanging="307"/>
      </w:pPr>
      <w:r>
        <w:t xml:space="preserve">N12.43 billion for Energy for All: Mass Rural Electrification/Solar Power Strategy programme; </w:t>
      </w:r>
    </w:p>
    <w:p w:rsidR="001C682A" w:rsidRDefault="00B03C38">
      <w:pPr>
        <w:numPr>
          <w:ilvl w:val="0"/>
          <w:numId w:val="1"/>
        </w:numPr>
        <w:ind w:right="816" w:hanging="307"/>
      </w:pPr>
      <w:r>
        <w:t xml:space="preserve">N75.0 billion for Supporting Small Businesses/ MSME Survival Fund; </w:t>
      </w:r>
    </w:p>
    <w:p w:rsidR="001C682A" w:rsidRDefault="00B03C38">
      <w:pPr>
        <w:numPr>
          <w:ilvl w:val="0"/>
          <w:numId w:val="1"/>
        </w:numPr>
        <w:ind w:right="816" w:hanging="307"/>
      </w:pPr>
      <w:r>
        <w:t xml:space="preserve">N60.0 billion for Maintenance of Roads through Contract and Direct Labour in the 6 Geo-Political Zones; </w:t>
      </w:r>
    </w:p>
    <w:p w:rsidR="001C682A" w:rsidRDefault="00B03C38">
      <w:pPr>
        <w:numPr>
          <w:ilvl w:val="0"/>
          <w:numId w:val="1"/>
        </w:numPr>
        <w:ind w:right="816" w:hanging="307"/>
      </w:pPr>
      <w:r>
        <w:t xml:space="preserve">N9.59 billion for Job Creation Scheme for Youth and Women Post Covid-19; </w:t>
      </w:r>
    </w:p>
    <w:p w:rsidR="001C682A" w:rsidRDefault="00B03C38">
      <w:pPr>
        <w:numPr>
          <w:ilvl w:val="0"/>
          <w:numId w:val="1"/>
        </w:numPr>
        <w:ind w:right="816" w:hanging="307"/>
      </w:pPr>
      <w:r>
        <w:t xml:space="preserve">N52.0 billion Public Works Programme; </w:t>
      </w:r>
    </w:p>
    <w:p w:rsidR="001C682A" w:rsidRDefault="00B03C38">
      <w:pPr>
        <w:numPr>
          <w:ilvl w:val="0"/>
          <w:numId w:val="1"/>
        </w:numPr>
        <w:ind w:right="816" w:hanging="307"/>
      </w:pPr>
      <w:r>
        <w:t xml:space="preserve">N32.46 billion for Social Intervention Programme; </w:t>
      </w:r>
    </w:p>
    <w:p w:rsidR="001C682A" w:rsidRDefault="00B03C38">
      <w:pPr>
        <w:numPr>
          <w:ilvl w:val="0"/>
          <w:numId w:val="1"/>
        </w:numPr>
        <w:ind w:right="816" w:hanging="307"/>
      </w:pPr>
      <w:r>
        <w:t xml:space="preserve">N5.0 billion bail-out for support to the Aviation Sector; </w:t>
      </w:r>
    </w:p>
    <w:p w:rsidR="001C682A" w:rsidRDefault="00B03C38">
      <w:pPr>
        <w:numPr>
          <w:ilvl w:val="0"/>
          <w:numId w:val="1"/>
        </w:numPr>
        <w:ind w:right="816" w:hanging="307"/>
      </w:pPr>
      <w:r>
        <w:t xml:space="preserve">N126 billion for upgrading healthcare infrastructural facilities and operations across Federal Medical Centres, Teaching Hospitals and others; </w:t>
      </w:r>
    </w:p>
    <w:p w:rsidR="001C682A" w:rsidRDefault="00B03C38">
      <w:pPr>
        <w:numPr>
          <w:ilvl w:val="0"/>
          <w:numId w:val="1"/>
        </w:numPr>
        <w:ind w:right="816" w:hanging="307"/>
      </w:pPr>
      <w:r>
        <w:t xml:space="preserve">N2.98 billion for the Ministry of Interior; </w:t>
      </w:r>
    </w:p>
    <w:p w:rsidR="001C682A" w:rsidRDefault="00B03C38">
      <w:pPr>
        <w:numPr>
          <w:ilvl w:val="0"/>
          <w:numId w:val="1"/>
        </w:numPr>
        <w:ind w:right="816" w:hanging="307"/>
      </w:pPr>
      <w:r>
        <w:t xml:space="preserve">N6.0 billion for Artisanal and Small-Scale Miners; </w:t>
      </w:r>
    </w:p>
    <w:p w:rsidR="001C682A" w:rsidRDefault="00B03C38">
      <w:pPr>
        <w:numPr>
          <w:ilvl w:val="0"/>
          <w:numId w:val="1"/>
        </w:numPr>
        <w:ind w:right="816" w:hanging="307"/>
      </w:pPr>
      <w:r>
        <w:t xml:space="preserve">N9.89 billion for Water, Sanitation and Hygiene programme; and  </w:t>
      </w:r>
    </w:p>
    <w:p w:rsidR="001C682A" w:rsidRDefault="00B03C38">
      <w:pPr>
        <w:numPr>
          <w:ilvl w:val="0"/>
          <w:numId w:val="1"/>
        </w:numPr>
        <w:ind w:right="816" w:hanging="307"/>
      </w:pPr>
      <w:r>
        <w:t xml:space="preserve">N750 million for Monitoring and Evaluation and Reporting. </w:t>
      </w:r>
    </w:p>
    <w:p w:rsidR="001C682A" w:rsidRDefault="00B03C38">
      <w:pPr>
        <w:spacing w:after="19" w:line="259" w:lineRule="auto"/>
        <w:ind w:left="218" w:firstLine="0"/>
        <w:jc w:val="left"/>
      </w:pPr>
      <w:r>
        <w:t xml:space="preserve"> </w:t>
      </w:r>
    </w:p>
    <w:p w:rsidR="001C682A" w:rsidRDefault="00B03C38">
      <w:pPr>
        <w:ind w:left="236" w:right="816"/>
      </w:pPr>
      <w:r>
        <w:t xml:space="preserve">The following fiscal stimulus measures are also being introduced:  </w:t>
      </w:r>
    </w:p>
    <w:p w:rsidR="001C682A" w:rsidRDefault="00B03C38">
      <w:pPr>
        <w:numPr>
          <w:ilvl w:val="0"/>
          <w:numId w:val="1"/>
        </w:numPr>
        <w:ind w:right="816" w:hanging="307"/>
      </w:pPr>
      <w:r>
        <w:t xml:space="preserve">Fiscal relief for taxpayers and key economic sectors </w:t>
      </w:r>
    </w:p>
    <w:p w:rsidR="001C682A" w:rsidRDefault="00B03C38">
      <w:pPr>
        <w:numPr>
          <w:ilvl w:val="0"/>
          <w:numId w:val="1"/>
        </w:numPr>
        <w:ind w:right="816" w:hanging="307"/>
      </w:pPr>
      <w:r>
        <w:t xml:space="preserve">Incentives for employers to retain and recruit staff </w:t>
      </w:r>
    </w:p>
    <w:p w:rsidR="001C682A" w:rsidRDefault="00B03C38">
      <w:pPr>
        <w:numPr>
          <w:ilvl w:val="0"/>
          <w:numId w:val="1"/>
        </w:numPr>
        <w:spacing w:after="145"/>
        <w:ind w:right="816" w:hanging="307"/>
      </w:pPr>
      <w:r>
        <w:t xml:space="preserve">Measures to stimulate investment in critical infrastructure (Roads, Rail and Ports) </w:t>
      </w:r>
    </w:p>
    <w:p w:rsidR="001C682A" w:rsidRDefault="00B03C38">
      <w:pPr>
        <w:spacing w:after="150"/>
        <w:ind w:left="236" w:right="816"/>
      </w:pPr>
      <w:r>
        <w:t xml:space="preserve">To cushion the adverse effects of the COVID-19 outbreak on the economy and safeguard the Nigerian financial system from the headwinds, the CBN also introduced the following monetary and macro-financial measures: </w:t>
      </w:r>
    </w:p>
    <w:p w:rsidR="001C682A" w:rsidRDefault="00B03C38">
      <w:pPr>
        <w:numPr>
          <w:ilvl w:val="0"/>
          <w:numId w:val="2"/>
        </w:numPr>
        <w:spacing w:after="186"/>
        <w:ind w:right="816" w:hanging="362"/>
      </w:pPr>
      <w:r>
        <w:t xml:space="preserve">Reduction of interest rates from 9% to 5% on existing intervention programmes over the next one year; </w:t>
      </w:r>
    </w:p>
    <w:p w:rsidR="001C682A" w:rsidRDefault="00B03C38">
      <w:pPr>
        <w:numPr>
          <w:ilvl w:val="0"/>
          <w:numId w:val="2"/>
        </w:numPr>
        <w:spacing w:after="184"/>
        <w:ind w:right="816" w:hanging="362"/>
      </w:pPr>
      <w:r>
        <w:t xml:space="preserve">Extended moratorium on loans by an additional year beginning from March 2020 to ease pressure on borrowers from loan repayments; </w:t>
      </w:r>
    </w:p>
    <w:p w:rsidR="001C682A" w:rsidRDefault="00B03C38">
      <w:pPr>
        <w:numPr>
          <w:ilvl w:val="0"/>
          <w:numId w:val="2"/>
        </w:numPr>
        <w:spacing w:after="183"/>
        <w:ind w:right="816" w:hanging="362"/>
      </w:pPr>
      <w:r>
        <w:t xml:space="preserve">Regulatory forbearance to restructure loan terms and tenors to households and businesses affected by COVID-19; </w:t>
      </w:r>
    </w:p>
    <w:p w:rsidR="001C682A" w:rsidRDefault="00B03C38">
      <w:pPr>
        <w:numPr>
          <w:ilvl w:val="0"/>
          <w:numId w:val="2"/>
        </w:numPr>
        <w:spacing w:after="183"/>
        <w:ind w:right="816" w:hanging="362"/>
      </w:pPr>
      <w:r>
        <w:t xml:space="preserve">Unification of the exchange rate around the Importers &amp; Exporters foreign exchange market rate to remove distortions; </w:t>
      </w:r>
    </w:p>
    <w:p w:rsidR="001C682A" w:rsidRDefault="00B03C38">
      <w:pPr>
        <w:spacing w:after="185"/>
        <w:ind w:left="586" w:right="816"/>
      </w:pPr>
      <w:r>
        <w:t xml:space="preserve">(v) Injection of about N1.8 trillion </w:t>
      </w:r>
      <w:proofErr w:type="gramStart"/>
      <w:r>
        <w:t>stimulus</w:t>
      </w:r>
      <w:proofErr w:type="gramEnd"/>
      <w:r>
        <w:t xml:space="preserve"> through the following interventions: </w:t>
      </w:r>
    </w:p>
    <w:p w:rsidR="001C682A" w:rsidRDefault="00B03C38">
      <w:pPr>
        <w:numPr>
          <w:ilvl w:val="0"/>
          <w:numId w:val="3"/>
        </w:numPr>
        <w:spacing w:after="102" w:line="259" w:lineRule="auto"/>
        <w:ind w:right="816" w:hanging="480"/>
      </w:pPr>
      <w:r>
        <w:t xml:space="preserve">N1.0 trillion to support local manufacturing and boost import substitution </w:t>
      </w:r>
    </w:p>
    <w:p w:rsidR="001C682A" w:rsidRDefault="00B03C38">
      <w:pPr>
        <w:numPr>
          <w:ilvl w:val="0"/>
          <w:numId w:val="3"/>
        </w:numPr>
        <w:spacing w:after="182"/>
        <w:ind w:right="816" w:hanging="480"/>
      </w:pPr>
      <w:r>
        <w:lastRenderedPageBreak/>
        <w:t xml:space="preserve">N100 billion for provision of loans to pharmaceutical companies, hospitals and other health practitioners for building or upgrade of hospitals and health facilities </w:t>
      </w:r>
    </w:p>
    <w:p w:rsidR="001C682A" w:rsidRDefault="00B03C38">
      <w:pPr>
        <w:numPr>
          <w:ilvl w:val="0"/>
          <w:numId w:val="3"/>
        </w:numPr>
        <w:spacing w:after="119" w:line="332" w:lineRule="auto"/>
        <w:ind w:right="816" w:hanging="480"/>
      </w:pPr>
      <w:r>
        <w:t xml:space="preserve">N50 billion fund to support households and Small and Medium Enterprises (SMEs) affected by COVID-19; and iv. Assistance to pharmaceutical companies to re-establish drug manufacturing in Nigeria and curtail the spread of the corona virus. </w:t>
      </w:r>
    </w:p>
    <w:p w:rsidR="001C682A" w:rsidRDefault="00B03C38">
      <w:pPr>
        <w:spacing w:after="243"/>
        <w:ind w:left="236" w:right="816"/>
      </w:pPr>
      <w:r>
        <w:t xml:space="preserve">There is also N1.5 trillion private sector driven </w:t>
      </w:r>
      <w:proofErr w:type="spellStart"/>
      <w:r>
        <w:t>Infraco</w:t>
      </w:r>
      <w:proofErr w:type="spellEnd"/>
      <w:r>
        <w:t xml:space="preserve"> Project fund to finance construction of critical infrastructure across the country; </w:t>
      </w:r>
    </w:p>
    <w:p w:rsidR="001C682A" w:rsidRDefault="00B03C38">
      <w:pPr>
        <w:spacing w:after="243"/>
        <w:ind w:left="236" w:right="816"/>
      </w:pPr>
      <w:r>
        <w:t xml:space="preserve">It is expected that the effective and coordinated implementation of the stimulus packages targeted at the worst-hit sectors of the economy may prevent the economy from experiencing a contraction as high as the projected 4.2% in 2020, and also hasten recovery. It is hoped that the economy will grow faster in the medium term, rising from 3.0% in 2021 to 4.68% in 2022 and 3.86% in 2023.  The expenditure plans set out in 2021-2023 will support the achievement of these real GDP growth targets. </w:t>
      </w:r>
    </w:p>
    <w:p w:rsidR="001C682A" w:rsidRDefault="00B03C38">
      <w:pPr>
        <w:pStyle w:val="Heading4"/>
        <w:spacing w:after="92" w:line="259" w:lineRule="auto"/>
        <w:ind w:left="213"/>
      </w:pPr>
      <w:bookmarkStart w:id="66" w:name="_Toc389413"/>
      <w:r>
        <w:rPr>
          <w:rFonts w:ascii="Calibri" w:eastAsia="Calibri" w:hAnsi="Calibri" w:cs="Calibri"/>
          <w:color w:val="1F3763"/>
        </w:rPr>
        <w:t xml:space="preserve">7.1.2 Supporting Employment Creation and Preserving Jobs </w:t>
      </w:r>
      <w:bookmarkEnd w:id="66"/>
    </w:p>
    <w:p w:rsidR="001C682A" w:rsidRDefault="00B03C38">
      <w:pPr>
        <w:spacing w:after="186"/>
        <w:ind w:left="236" w:right="816"/>
      </w:pPr>
      <w:r>
        <w:t xml:space="preserve">A key consequence of the COVID-19 Pandemic is massive job losses worldwide. In Nigeria, unemployment rate is expected to rise from 23.1% (or 20.9 million people) at Q3 2018 to about 33.6% (or 39.4 million people) at Q2 2020. Hence, urgent action is required to ensure the productive engagement of the very large population of unemployed youths to prevent them from engaging in criminal activities and anti-social behaviour. </w:t>
      </w:r>
    </w:p>
    <w:p w:rsidR="001C682A" w:rsidRDefault="00B03C38">
      <w:pPr>
        <w:spacing w:after="183"/>
        <w:ind w:left="236" w:right="816"/>
      </w:pPr>
      <w:r>
        <w:t xml:space="preserve">Therefore, the immediate priority is to ensure that growth continues to be jobs-rich. In the medium to long-term, growth in Nigeria depends on continually improving </w:t>
      </w:r>
      <w:r>
        <w:rPr>
          <w:b/>
        </w:rPr>
        <w:t>productivity</w:t>
      </w:r>
      <w:r>
        <w:t xml:space="preserve">, which in turn, depends on investment in people, and boosting competition and innovation.  </w:t>
      </w:r>
    </w:p>
    <w:p w:rsidR="001C682A" w:rsidRDefault="00B03C38">
      <w:pPr>
        <w:spacing w:after="183"/>
        <w:ind w:left="236" w:right="816"/>
      </w:pPr>
      <w:r>
        <w:t xml:space="preserve">Barriers to growth will be identified and removed in the key sectors of our economy. The Government will open up sheltered sectors of the economy to competition and investment, and intensify efforts to enhance the capacity of the workforce, through investment in education and training, and through measures to support people to set up business or move between jobs and sectors as the economy grows. </w:t>
      </w:r>
    </w:p>
    <w:p w:rsidR="001C682A" w:rsidRDefault="00B03C38">
      <w:pPr>
        <w:spacing w:after="243"/>
        <w:ind w:left="236" w:right="816"/>
      </w:pPr>
      <w:r>
        <w:t xml:space="preserve">The N-Power Programme is providing a pipeline of skilled workers to help rebuild the economy post-COVID-19. Over 109,823 of the beneficiaries have established businesses from savings accrued from the scheme. The Government has commenced enrolment of new beneficiaries to provide opportunities for more Nigerian youths to gain skills for employability and entrepreneurship. </w:t>
      </w:r>
    </w:p>
    <w:p w:rsidR="001C682A" w:rsidRDefault="00B03C38">
      <w:pPr>
        <w:pStyle w:val="Heading4"/>
        <w:spacing w:after="0" w:line="259" w:lineRule="auto"/>
        <w:ind w:left="213"/>
      </w:pPr>
      <w:bookmarkStart w:id="67" w:name="_Toc389414"/>
      <w:r>
        <w:rPr>
          <w:rFonts w:ascii="Calibri" w:eastAsia="Calibri" w:hAnsi="Calibri" w:cs="Calibri"/>
          <w:color w:val="1F3763"/>
        </w:rPr>
        <w:t xml:space="preserve">7.1.3 Ensuring Macroeconomic Stability </w:t>
      </w:r>
      <w:bookmarkEnd w:id="67"/>
    </w:p>
    <w:p w:rsidR="001C682A" w:rsidRDefault="00B03C38">
      <w:pPr>
        <w:ind w:left="236" w:right="816"/>
      </w:pPr>
      <w:r>
        <w:t xml:space="preserve">Efforts will be made to stabilize the macroeconomic environment in the medium term. Inflation rate increased for the ninth consecutive month by 12.4% (year-on-year) in May 2020, the highest rate recorded since May 2018, driven largely by rise in cost of food exacerbated by insecurity and inter-state travel disruptions owing to the coronavirus pandemic. It is expected that inflation will decelerate as the security situation improves, the economy opens up and output expands, </w:t>
      </w:r>
    </w:p>
    <w:p w:rsidR="001C682A" w:rsidRDefault="00B03C38">
      <w:pPr>
        <w:spacing w:after="458"/>
        <w:ind w:left="236" w:right="816"/>
      </w:pPr>
      <w:r>
        <w:lastRenderedPageBreak/>
        <w:t xml:space="preserve">It is also projected that the exchange rate will generally remain relatively stable as the monetary, fiscal and trade policies are better aligned. This outcome will be achieved through policies that seek to remove uncertainty in the exchange rate regime and restore investors’ confidence in the market. This includes strategies to moderate inflationary pressures; provide critical infrastructure to lower the cost of doing business; and stabilize the exchange rate. In addition, government is redoubling its revenue generation efforts to moderate fiscal deficits. These, in addition to a healthy debt sustainability framework, will support stability in the macroeconomic environment. </w:t>
      </w:r>
    </w:p>
    <w:p w:rsidR="001C682A" w:rsidRDefault="00B03C38">
      <w:pPr>
        <w:pStyle w:val="Heading3"/>
        <w:tabs>
          <w:tab w:val="center" w:pos="415"/>
          <w:tab w:val="center" w:pos="3529"/>
        </w:tabs>
        <w:spacing w:after="0" w:line="259" w:lineRule="auto"/>
        <w:ind w:left="0" w:firstLine="0"/>
      </w:pPr>
      <w:bookmarkStart w:id="68" w:name="_Toc389415"/>
      <w:r>
        <w:rPr>
          <w:rFonts w:ascii="Calibri" w:eastAsia="Calibri" w:hAnsi="Calibri" w:cs="Calibri"/>
          <w:color w:val="000000"/>
          <w:sz w:val="22"/>
        </w:rPr>
        <w:tab/>
      </w:r>
      <w:r>
        <w:rPr>
          <w:b/>
        </w:rPr>
        <w:t xml:space="preserve">7.2 </w:t>
      </w:r>
      <w:r>
        <w:rPr>
          <w:b/>
        </w:rPr>
        <w:tab/>
        <w:t xml:space="preserve">Fiscal Policy Objectives and Strategies </w:t>
      </w:r>
      <w:bookmarkEnd w:id="68"/>
    </w:p>
    <w:p w:rsidR="001C682A" w:rsidRDefault="00B03C38">
      <w:pPr>
        <w:spacing w:after="193"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29353" name="Group 329353"/>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765" name="Shape 395765"/>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29353" style="width:453.91pt;height:0.47998pt;mso-position-horizontal-relative:char;mso-position-vertical-relative:line" coordsize="57646,60">
                <v:shape id="Shape 395766"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spacing w:after="183"/>
        <w:ind w:left="236" w:right="816"/>
      </w:pPr>
      <w:r>
        <w:t xml:space="preserve">The thrust of Government’s fiscal policy in the medium-term is to cushion the long-lasting impact of the COVID-19 pandemic on households and businesses and ensure fiscal and debt sustainability. This will be achieved through the following:  </w:t>
      </w:r>
    </w:p>
    <w:p w:rsidR="001C682A" w:rsidRDefault="00B03C38">
      <w:pPr>
        <w:numPr>
          <w:ilvl w:val="0"/>
          <w:numId w:val="4"/>
        </w:numPr>
        <w:ind w:right="1277" w:hanging="475"/>
        <w:jc w:val="left"/>
      </w:pPr>
      <w:r>
        <w:t xml:space="preserve">Optimizing government revenue; </w:t>
      </w:r>
    </w:p>
    <w:p w:rsidR="001C682A" w:rsidRDefault="00B03C38">
      <w:pPr>
        <w:numPr>
          <w:ilvl w:val="0"/>
          <w:numId w:val="4"/>
        </w:numPr>
        <w:spacing w:after="247" w:line="273" w:lineRule="auto"/>
        <w:ind w:right="1277" w:hanging="475"/>
        <w:jc w:val="left"/>
      </w:pPr>
      <w:r>
        <w:t xml:space="preserve">Creating fiscal space for infrastructural development; iii. </w:t>
      </w:r>
      <w:r>
        <w:tab/>
        <w:t xml:space="preserve">Enhancing fiscal prudence and transparency; and, iv. </w:t>
      </w:r>
      <w:r>
        <w:tab/>
        <w:t xml:space="preserve">Ensuring sustainable deficit and debt levels, including new fiscal rules. </w:t>
      </w:r>
    </w:p>
    <w:p w:rsidR="001C682A" w:rsidRDefault="00B03C38">
      <w:pPr>
        <w:pStyle w:val="Heading4"/>
        <w:spacing w:after="92" w:line="259" w:lineRule="auto"/>
        <w:ind w:left="213"/>
      </w:pPr>
      <w:bookmarkStart w:id="69" w:name="_Toc389416"/>
      <w:r>
        <w:rPr>
          <w:rFonts w:ascii="Calibri" w:eastAsia="Calibri" w:hAnsi="Calibri" w:cs="Calibri"/>
          <w:color w:val="1F3763"/>
        </w:rPr>
        <w:t xml:space="preserve">7.2.1 Optimizing Government Revenue </w:t>
      </w:r>
      <w:bookmarkEnd w:id="69"/>
    </w:p>
    <w:p w:rsidR="001C682A" w:rsidRDefault="00B03C38">
      <w:pPr>
        <w:spacing w:after="183"/>
        <w:ind w:left="236" w:right="816"/>
      </w:pPr>
      <w:r>
        <w:t xml:space="preserve">The immediate economic impact of COVID-19 is the sharp decline in oil revenue receipts and the decline in taxable economic activities. Nevertheless, the Pandemic has necessitated significant expenditure to improve health infrastructure and moderate the impact on households and businesses. Therefore, more than ever before, there is urgent need to significantly improve government revenues. Government is committed to using innovative ways to raise revenues required for financing its expenditure and diversifying its revenue sources thereby significantly increasing the Revenue-to-GDP ratio. The medium-term target for this remains 15%. Higher revenue collections will enable Government to effectively deliver public services, enhance infrastructure investment, and mitigate the health and economic effects of the COVID-19 Pandemic. </w:t>
      </w:r>
    </w:p>
    <w:p w:rsidR="001C682A" w:rsidRDefault="00B03C38">
      <w:pPr>
        <w:spacing w:after="255"/>
        <w:ind w:left="236" w:right="816"/>
      </w:pPr>
      <w:r>
        <w:t xml:space="preserve">To underscore the importance of revenue to the FGN budget, revenue lines have been introduced into the new Appropriation Bill format. In effect, MDAs will be required to commence the preparation of the budgets from revenues likely to be generated during the fiscal year. </w:t>
      </w:r>
    </w:p>
    <w:p w:rsidR="001C682A" w:rsidRDefault="00B03C38">
      <w:pPr>
        <w:ind w:left="236" w:right="816"/>
      </w:pPr>
      <w:r>
        <w:rPr>
          <w:rFonts w:ascii="Calibri" w:eastAsia="Calibri" w:hAnsi="Calibri" w:cs="Calibri"/>
          <w:color w:val="2F5496"/>
          <w:sz w:val="28"/>
        </w:rPr>
        <w:t>Oil Revenue</w:t>
      </w:r>
      <w:r>
        <w:rPr>
          <w:b/>
        </w:rPr>
        <w:t>:</w:t>
      </w:r>
      <w:r>
        <w:t xml:space="preserve"> In order to increase oil revenues, upfront fiscal deductions by the Nigerian </w:t>
      </w:r>
    </w:p>
    <w:p w:rsidR="001C682A" w:rsidRDefault="00B03C38">
      <w:pPr>
        <w:spacing w:after="256"/>
        <w:ind w:left="236" w:right="816"/>
      </w:pPr>
      <w:r>
        <w:t xml:space="preserve">National Petroleum Corporation for federally funded projects have been significantly reduced. The NNPC is taking measures to further reduce the cost of crude oil production to $10 per barrel or below by 2021. This will be achieved by reducing key cost drivers including logistics, security and transportation. In addition, under-recovery costs by the NNPC in the course of importing petrol for the country has been eliminated with the recent elimination of subsidies in PMS pricing. Other measures include accelerating licensing of Marginal Oil Fields and renewals of existing licenses as well as ramping up production from previously shut-down oil wells. </w:t>
      </w:r>
    </w:p>
    <w:p w:rsidR="001C682A" w:rsidRDefault="00B03C38">
      <w:pPr>
        <w:spacing w:after="177" w:line="332" w:lineRule="auto"/>
        <w:ind w:left="236" w:right="816"/>
      </w:pPr>
      <w:r>
        <w:rPr>
          <w:rFonts w:ascii="Calibri" w:eastAsia="Calibri" w:hAnsi="Calibri" w:cs="Calibri"/>
          <w:color w:val="2F5496"/>
          <w:sz w:val="28"/>
        </w:rPr>
        <w:lastRenderedPageBreak/>
        <w:t>Non-Oil Revenues</w:t>
      </w:r>
      <w:r>
        <w:rPr>
          <w:b/>
        </w:rPr>
        <w:t>:</w:t>
      </w:r>
      <w:r>
        <w:t xml:space="preserve"> Non-oil revenues are relatively more stable than oil revenue. Hence, concerted efforts will be made to improve non-oil receipts through improved tax and Customs administration and expanded non-oil revenue base. In addition, the tax system will be further strengthened over the medium term by improving collection efficiency, enhancing compliance, and reorganizing the business practices of revenue agencies as well as employing appropriate technology. In addition, government will ensure that more businesses in the informal sector are brought into the tax net.  </w:t>
      </w:r>
    </w:p>
    <w:p w:rsidR="001C682A" w:rsidRDefault="00B03C38">
      <w:pPr>
        <w:ind w:left="236" w:right="816"/>
      </w:pPr>
      <w:r>
        <w:t xml:space="preserve">In order to widen the revenue base, the Government recently activated stamp duty collection which has been neglected for more than 20 years. Towards this end, the Federal Inland Revenue Service Adhesive Stamp was recently introduced and the Inter-Ministerial Committee on Audit and Recovery of Back Years Stamp Duties has been inaugurated. </w:t>
      </w:r>
    </w:p>
    <w:p w:rsidR="001C682A" w:rsidRDefault="00B03C38">
      <w:pPr>
        <w:ind w:left="236" w:right="816"/>
      </w:pPr>
      <w:r>
        <w:t xml:space="preserve">Government targets about N1 trillion revenue annually from Stamp Duties. In addition, </w:t>
      </w:r>
    </w:p>
    <w:p w:rsidR="001C682A" w:rsidRDefault="00B03C38">
      <w:pPr>
        <w:spacing w:after="187"/>
        <w:ind w:left="236" w:right="816"/>
      </w:pPr>
      <w:r>
        <w:t xml:space="preserve">Government will re-introduce the 2012 Corporate Tax (Exemption of Profits) Order granting Job-creation Tax Rebates for Employers. Also, non-essential tax waivers will be reviewed to optimize revenues. </w:t>
      </w:r>
    </w:p>
    <w:p w:rsidR="001C682A" w:rsidRDefault="00B03C38">
      <w:pPr>
        <w:spacing w:after="183"/>
        <w:ind w:left="236" w:right="816"/>
      </w:pPr>
      <w:r>
        <w:t xml:space="preserve">To further shore up Nigeria’s tax revenue, the Executive Order 008 on the Voluntary Offshore Assets Regularisation Scheme (VOARS) was amended recently to facilitate the enforcement of the order originally signed in October 2018. The VOARS provides incentive for taxpayers who have defaulted in the payment of taxes in respect of their offshore assets and </w:t>
      </w:r>
      <w:proofErr w:type="spellStart"/>
      <w:r>
        <w:t>foreignsourced</w:t>
      </w:r>
      <w:proofErr w:type="spellEnd"/>
      <w:r>
        <w:t xml:space="preserve"> income to voluntarily declare their offshore assets and regularise their tax affairs. Such taxpayers are required to pay a one-time levy of 35 percent to avoid penalties for tax evasion. </w:t>
      </w:r>
    </w:p>
    <w:p w:rsidR="001C682A" w:rsidRDefault="00B03C38">
      <w:pPr>
        <w:spacing w:after="260"/>
        <w:ind w:left="236" w:right="816"/>
      </w:pPr>
      <w:r>
        <w:t xml:space="preserve">Under the amended order, domestic or foreign banks, asset managers or intermediaries </w:t>
      </w:r>
      <w:proofErr w:type="gramStart"/>
      <w:r>
        <w:t>that  enable</w:t>
      </w:r>
      <w:proofErr w:type="gramEnd"/>
      <w:r>
        <w:t xml:space="preserve"> defaulters to conceal offshore assets and obligations  are liable to pay to the Federal Government of Nigeria a penalty on the total of such offshore assets, in addition to other penalties provided for under Nigerian laws or laws of foreign countries from which Nigeria can benefit. </w:t>
      </w:r>
    </w:p>
    <w:p w:rsidR="001C682A" w:rsidRDefault="00B03C38">
      <w:pPr>
        <w:spacing w:after="117" w:line="334" w:lineRule="auto"/>
        <w:ind w:left="236" w:right="816"/>
      </w:pPr>
      <w:r>
        <w:rPr>
          <w:rFonts w:ascii="Calibri" w:eastAsia="Calibri" w:hAnsi="Calibri" w:cs="Calibri"/>
          <w:color w:val="2F5496"/>
          <w:sz w:val="28"/>
        </w:rPr>
        <w:t>Customs Revenue:</w:t>
      </w:r>
      <w:r>
        <w:rPr>
          <w:sz w:val="24"/>
        </w:rPr>
        <w:t xml:space="preserve"> </w:t>
      </w:r>
      <w:r>
        <w:t xml:space="preserve">To improve collections over the period 2021-2023, the following strategies will be implemented by the Nigeria Customs Service: </w:t>
      </w:r>
    </w:p>
    <w:p w:rsidR="001C682A" w:rsidRDefault="00B03C38">
      <w:pPr>
        <w:numPr>
          <w:ilvl w:val="0"/>
          <w:numId w:val="5"/>
        </w:numPr>
        <w:spacing w:after="183"/>
        <w:ind w:right="816" w:hanging="482"/>
      </w:pPr>
      <w:r>
        <w:t xml:space="preserve">Full automation of all forms of manual payments in every Customs formation. In addition to improved revenue performance, this would further promote sanity and integrity of Service operations; </w:t>
      </w:r>
    </w:p>
    <w:p w:rsidR="001C682A" w:rsidRDefault="00B03C38">
      <w:pPr>
        <w:numPr>
          <w:ilvl w:val="0"/>
          <w:numId w:val="5"/>
        </w:numPr>
        <w:spacing w:after="186"/>
        <w:ind w:right="816" w:hanging="482"/>
      </w:pPr>
      <w:r>
        <w:t xml:space="preserve">Advocacy for expansion of excisable items beyond alcoholic beverages and tobacco, including imported goods that have similar production line in Nigeria;  </w:t>
      </w:r>
    </w:p>
    <w:p w:rsidR="001C682A" w:rsidRDefault="00B03C38">
      <w:pPr>
        <w:numPr>
          <w:ilvl w:val="0"/>
          <w:numId w:val="5"/>
        </w:numPr>
        <w:spacing w:after="186"/>
        <w:ind w:right="816" w:hanging="482"/>
      </w:pPr>
      <w:r>
        <w:t xml:space="preserve">Holistic assessment and monitoring of all revenues collected on behalf the Service by the various designated commercial banks. This will create avenue for genuine reconciliation of all accrued revenues against claimed remittances to the various designated government accounts. This will also guide against diversion of any collectible revenue; </w:t>
      </w:r>
    </w:p>
    <w:p w:rsidR="001C682A" w:rsidRDefault="00B03C38">
      <w:pPr>
        <w:numPr>
          <w:ilvl w:val="0"/>
          <w:numId w:val="5"/>
        </w:numPr>
        <w:spacing w:after="183"/>
        <w:ind w:right="816" w:hanging="482"/>
      </w:pPr>
      <w:r>
        <w:lastRenderedPageBreak/>
        <w:t xml:space="preserve">Automation of all transit procedures from mother Ports to Bonded terminals and/or from Command to Command to drastically reduce transit leakages occasioned by diversion of cargo among others; </w:t>
      </w:r>
    </w:p>
    <w:p w:rsidR="001C682A" w:rsidRDefault="00B03C38">
      <w:pPr>
        <w:numPr>
          <w:ilvl w:val="0"/>
          <w:numId w:val="5"/>
        </w:numPr>
        <w:ind w:right="816" w:hanging="482"/>
      </w:pPr>
      <w:r>
        <w:t xml:space="preserve">Acceleration of the modification and automation of excise and export platform in the </w:t>
      </w:r>
    </w:p>
    <w:p w:rsidR="001C682A" w:rsidRDefault="00B03C38">
      <w:pPr>
        <w:ind w:left="948" w:right="816"/>
      </w:pPr>
      <w:r>
        <w:t xml:space="preserve">Nigerian Integrated Customs Information System II (NICIS II);  </w:t>
      </w:r>
    </w:p>
    <w:p w:rsidR="001C682A" w:rsidRDefault="00B03C38">
      <w:pPr>
        <w:numPr>
          <w:ilvl w:val="0"/>
          <w:numId w:val="5"/>
        </w:numPr>
        <w:spacing w:after="185"/>
        <w:ind w:right="816" w:hanging="482"/>
      </w:pPr>
      <w:r>
        <w:t xml:space="preserve">The use of the Government Integrated Financial Management Information System (GIFMIS) module to enhance collection, reconciliation and audit trail of all relevant proceeds to block all opportunities to defraud the system; </w:t>
      </w:r>
    </w:p>
    <w:p w:rsidR="001C682A" w:rsidRDefault="00B03C38">
      <w:pPr>
        <w:numPr>
          <w:ilvl w:val="0"/>
          <w:numId w:val="5"/>
        </w:numPr>
        <w:spacing w:after="183"/>
        <w:ind w:right="816" w:hanging="482"/>
      </w:pPr>
      <w:r>
        <w:t xml:space="preserve">Installation of scanners in various key Customs formations to streamline the current inefficient manual cargo examination method and aid trade facilitation; </w:t>
      </w:r>
    </w:p>
    <w:p w:rsidR="001C682A" w:rsidRDefault="00B03C38">
      <w:pPr>
        <w:numPr>
          <w:ilvl w:val="0"/>
          <w:numId w:val="5"/>
        </w:numPr>
        <w:spacing w:after="186"/>
        <w:ind w:right="816" w:hanging="482"/>
      </w:pPr>
      <w:r>
        <w:t xml:space="preserve">Staff capacity development through training of the existing workforce and recruitment of new officers;  </w:t>
      </w:r>
    </w:p>
    <w:p w:rsidR="001C682A" w:rsidRDefault="00B03C38">
      <w:pPr>
        <w:numPr>
          <w:ilvl w:val="0"/>
          <w:numId w:val="5"/>
        </w:numPr>
        <w:spacing w:after="186"/>
        <w:ind w:right="816" w:hanging="482"/>
      </w:pPr>
      <w:r>
        <w:t xml:space="preserve">Intensification of anti-smuggling campaign beyond common boundary in order to curb trade irregularities and economic sabotage. Towards this end, the Nigeria Customs Service is collaborating with other government enforcement agencies including the Nigeria Army, Nigeria Immigration Service, Nigeria Police, etc. to fight against smuggling activities in Nigeria; </w:t>
      </w:r>
    </w:p>
    <w:p w:rsidR="001C682A" w:rsidRDefault="00B03C38">
      <w:pPr>
        <w:numPr>
          <w:ilvl w:val="0"/>
          <w:numId w:val="5"/>
        </w:numPr>
        <w:spacing w:after="183"/>
        <w:ind w:right="816" w:hanging="482"/>
      </w:pPr>
      <w:r>
        <w:t xml:space="preserve">Collaboration with stakeholders and relevant players in various economic units to enhance compliance by bridging gaps and building confidence among players in the trade chain; </w:t>
      </w:r>
    </w:p>
    <w:p w:rsidR="001C682A" w:rsidRDefault="00B03C38">
      <w:pPr>
        <w:numPr>
          <w:ilvl w:val="0"/>
          <w:numId w:val="5"/>
        </w:numPr>
        <w:spacing w:after="185"/>
        <w:ind w:right="816" w:hanging="482"/>
      </w:pPr>
      <w:r>
        <w:t xml:space="preserve">Deployment of Artificial Intelligence Instrument in border surveillance under the </w:t>
      </w:r>
      <w:proofErr w:type="spellStart"/>
      <w:r>
        <w:t>eCustoms</w:t>
      </w:r>
      <w:proofErr w:type="spellEnd"/>
      <w:r>
        <w:t xml:space="preserve"> Project to check smuggling and enhance revenue collection; and xii. Automation of the processing of arriving international passengers under the Passenger Entry System (PES) at the Arrival hall of all international entry points to enhance revenue collection, unlike the extant passage of passengers without appropriate assessment. </w:t>
      </w:r>
    </w:p>
    <w:p w:rsidR="001C682A" w:rsidRDefault="00B03C38">
      <w:pPr>
        <w:spacing w:after="201"/>
        <w:ind w:left="236" w:right="816"/>
      </w:pPr>
      <w:r>
        <w:t xml:space="preserve">In addition, the temporary closure of the nation’s land borders is intended to: </w:t>
      </w:r>
    </w:p>
    <w:p w:rsidR="001C682A" w:rsidRDefault="00B03C38">
      <w:pPr>
        <w:numPr>
          <w:ilvl w:val="1"/>
          <w:numId w:val="5"/>
        </w:numPr>
        <w:spacing w:after="160"/>
        <w:ind w:right="816" w:hanging="360"/>
      </w:pPr>
      <w:r>
        <w:t xml:space="preserve">Enhance imports through the Sea Ports and Air Ports; </w:t>
      </w:r>
    </w:p>
    <w:p w:rsidR="001C682A" w:rsidRDefault="00B03C38">
      <w:pPr>
        <w:numPr>
          <w:ilvl w:val="1"/>
          <w:numId w:val="5"/>
        </w:numPr>
        <w:spacing w:after="162"/>
        <w:ind w:right="816" w:hanging="360"/>
      </w:pPr>
      <w:r>
        <w:t xml:space="preserve">Protect the national economy from dumping; </w:t>
      </w:r>
    </w:p>
    <w:p w:rsidR="001C682A" w:rsidRDefault="00B03C38">
      <w:pPr>
        <w:numPr>
          <w:ilvl w:val="1"/>
          <w:numId w:val="5"/>
        </w:numPr>
        <w:spacing w:after="160"/>
        <w:ind w:right="816" w:hanging="360"/>
      </w:pPr>
      <w:r>
        <w:t xml:space="preserve">Discourage illicit activities along the trade chain; and  </w:t>
      </w:r>
    </w:p>
    <w:p w:rsidR="001C682A" w:rsidRDefault="00B03C38">
      <w:pPr>
        <w:numPr>
          <w:ilvl w:val="1"/>
          <w:numId w:val="5"/>
        </w:numPr>
        <w:spacing w:after="232" w:line="259" w:lineRule="auto"/>
        <w:ind w:right="816" w:hanging="360"/>
      </w:pPr>
      <w:r>
        <w:t xml:space="preserve">Enforce and promote collaboration with the neighbouring countries </w:t>
      </w:r>
    </w:p>
    <w:p w:rsidR="001C682A" w:rsidRDefault="00B03C38">
      <w:pPr>
        <w:spacing w:after="197"/>
        <w:ind w:left="236" w:right="816"/>
      </w:pPr>
      <w:r>
        <w:rPr>
          <w:rFonts w:ascii="Calibri" w:eastAsia="Calibri" w:hAnsi="Calibri" w:cs="Calibri"/>
          <w:color w:val="2F5496"/>
          <w:sz w:val="28"/>
        </w:rPr>
        <w:t>Independent Revenues:</w:t>
      </w:r>
      <w:r>
        <w:rPr>
          <w:sz w:val="24"/>
        </w:rPr>
        <w:t xml:space="preserve"> </w:t>
      </w:r>
      <w:r>
        <w:t xml:space="preserve">To enhance independent revenue generation and collection, Government will maximize the huge potentials and optimize the operational efficiency of GOEs to generate significant revenues to fund the FGN budget as obtainable in other countries. Current sub-optimal revenue performance will be addressed through the effective implementation of the approved Performance Management Framework. The key elements of the reform initiative include: </w:t>
      </w:r>
    </w:p>
    <w:p w:rsidR="001C682A" w:rsidRDefault="00B03C38">
      <w:pPr>
        <w:numPr>
          <w:ilvl w:val="1"/>
          <w:numId w:val="5"/>
        </w:numPr>
        <w:spacing w:after="198"/>
        <w:ind w:right="816" w:hanging="360"/>
      </w:pPr>
      <w:r>
        <w:t xml:space="preserve">Performance contracts for Chief Executive Officers (CEOs) and key Management Staff, which will set Financial Indicators and Targets for each GOE; </w:t>
      </w:r>
    </w:p>
    <w:p w:rsidR="001C682A" w:rsidRDefault="00B03C38">
      <w:pPr>
        <w:numPr>
          <w:ilvl w:val="1"/>
          <w:numId w:val="5"/>
        </w:numPr>
        <w:spacing w:after="165"/>
        <w:ind w:right="816" w:hanging="360"/>
      </w:pPr>
      <w:r>
        <w:lastRenderedPageBreak/>
        <w:t xml:space="preserve">Limiting cost-to-revenue ratio to maximum of 60%-70%; </w:t>
      </w:r>
    </w:p>
    <w:p w:rsidR="001C682A" w:rsidRDefault="00B03C38">
      <w:pPr>
        <w:numPr>
          <w:ilvl w:val="1"/>
          <w:numId w:val="5"/>
        </w:numPr>
        <w:ind w:right="816" w:hanging="360"/>
      </w:pPr>
      <w:r>
        <w:t xml:space="preserve">Regular monitoring and monthly publication of revenue and expenditure performance of GOEs by the Office of the Accountant General of the Federation; </w:t>
      </w:r>
    </w:p>
    <w:p w:rsidR="001C682A" w:rsidRDefault="00B03C38">
      <w:pPr>
        <w:numPr>
          <w:ilvl w:val="1"/>
          <w:numId w:val="5"/>
        </w:numPr>
        <w:spacing w:after="209"/>
        <w:ind w:right="816" w:hanging="360"/>
      </w:pPr>
      <w:r>
        <w:t xml:space="preserve">Quarterly tracking and publication of budget performance (revenue, expenditure and remittances) of GOEs by the Budget Office of the Federation; </w:t>
      </w:r>
    </w:p>
    <w:p w:rsidR="001C682A" w:rsidRDefault="00B03C38">
      <w:pPr>
        <w:numPr>
          <w:ilvl w:val="1"/>
          <w:numId w:val="5"/>
        </w:numPr>
        <w:spacing w:after="198"/>
        <w:ind w:right="816" w:hanging="360"/>
      </w:pPr>
      <w:r>
        <w:t xml:space="preserve">Mainstreaming of annual </w:t>
      </w:r>
      <w:proofErr w:type="spellStart"/>
      <w:r>
        <w:t>GOEs’</w:t>
      </w:r>
      <w:proofErr w:type="spellEnd"/>
      <w:r>
        <w:t xml:space="preserve"> budgets into the Federal Government’s Budget to ensure they are subjected to the same level of scrutiny, procurement and monitoring processes; </w:t>
      </w:r>
    </w:p>
    <w:p w:rsidR="001C682A" w:rsidRDefault="00B03C38">
      <w:pPr>
        <w:numPr>
          <w:ilvl w:val="1"/>
          <w:numId w:val="5"/>
        </w:numPr>
        <w:spacing w:after="167"/>
        <w:ind w:right="816" w:hanging="360"/>
      </w:pPr>
      <w:r>
        <w:t xml:space="preserve">Mandatory use of the Treasury Single Account for all financial transactions; </w:t>
      </w:r>
    </w:p>
    <w:p w:rsidR="001C682A" w:rsidRDefault="00B03C38">
      <w:pPr>
        <w:numPr>
          <w:ilvl w:val="1"/>
          <w:numId w:val="5"/>
        </w:numPr>
        <w:spacing w:after="198"/>
        <w:ind w:right="816" w:hanging="360"/>
      </w:pPr>
      <w:r>
        <w:t xml:space="preserve">Quarterly remittance of interim operating surplus and reconciliation of cumulative remittances at year end after audit; </w:t>
      </w:r>
    </w:p>
    <w:p w:rsidR="001C682A" w:rsidRDefault="00B03C38">
      <w:pPr>
        <w:numPr>
          <w:ilvl w:val="1"/>
          <w:numId w:val="5"/>
        </w:numPr>
        <w:spacing w:after="198"/>
        <w:ind w:right="816" w:hanging="360"/>
      </w:pPr>
      <w:r>
        <w:t xml:space="preserve">Submission of annual budgets to the Budget Office of the Federation for review and compilation for submission to the National Assembly along with the national budget; </w:t>
      </w:r>
    </w:p>
    <w:p w:rsidR="001C682A" w:rsidRDefault="00B03C38">
      <w:pPr>
        <w:numPr>
          <w:ilvl w:val="1"/>
          <w:numId w:val="5"/>
        </w:numPr>
        <w:spacing w:after="200"/>
        <w:ind w:right="816" w:hanging="360"/>
      </w:pPr>
      <w:r>
        <w:t xml:space="preserve">Consideration and passage of budget of GOEs alongside the main budget of the Federal Government; </w:t>
      </w:r>
    </w:p>
    <w:p w:rsidR="001C682A" w:rsidRDefault="00B03C38">
      <w:pPr>
        <w:numPr>
          <w:ilvl w:val="1"/>
          <w:numId w:val="5"/>
        </w:numPr>
        <w:spacing w:after="198"/>
        <w:ind w:right="816" w:hanging="360"/>
      </w:pPr>
      <w:r>
        <w:t xml:space="preserve">Exclusion of agencies with capacities for self-funding from allocations in the Federal Budget; </w:t>
      </w:r>
    </w:p>
    <w:p w:rsidR="001C682A" w:rsidRDefault="00B03C38">
      <w:pPr>
        <w:numPr>
          <w:ilvl w:val="1"/>
          <w:numId w:val="5"/>
        </w:numPr>
        <w:spacing w:after="197"/>
        <w:ind w:right="816" w:hanging="360"/>
      </w:pPr>
      <w:r>
        <w:t xml:space="preserve">Imposition of appropriate sanctions for unauthorized use of Internally Generated Revenues; </w:t>
      </w:r>
    </w:p>
    <w:p w:rsidR="001C682A" w:rsidRDefault="00B03C38">
      <w:pPr>
        <w:numPr>
          <w:ilvl w:val="1"/>
          <w:numId w:val="5"/>
        </w:numPr>
        <w:spacing w:after="165"/>
        <w:ind w:right="816" w:hanging="360"/>
      </w:pPr>
      <w:r>
        <w:t xml:space="preserve">Introduction of incentive mechanism for good performance in revenue generation; and </w:t>
      </w:r>
    </w:p>
    <w:p w:rsidR="001C682A" w:rsidRDefault="00B03C38">
      <w:pPr>
        <w:numPr>
          <w:ilvl w:val="1"/>
          <w:numId w:val="5"/>
        </w:numPr>
        <w:spacing w:after="183"/>
        <w:ind w:right="816" w:hanging="360"/>
      </w:pPr>
      <w:r>
        <w:t xml:space="preserve">Amendment of relevant sections of the Acts establishing some of the GOEs to reflect current economic realities and policy thrust of government. </w:t>
      </w:r>
    </w:p>
    <w:p w:rsidR="001C682A" w:rsidRDefault="00B03C38">
      <w:pPr>
        <w:spacing w:after="243"/>
        <w:ind w:left="236" w:right="816"/>
      </w:pPr>
      <w:r>
        <w:t xml:space="preserve">The Ministry of Finance, Budget and National Planning has identified GOEs that remit operating surpluses less than is required by law and/or financial regulations, and the amounts expected from each of them. The Auditor General of the Federation may have to directly deduct these funds from the accounts of the GOEs forthwith. A dashboard is being developed to facilitate the budget performance monitoring process. To ensure transparency, the GOEs will be required to prepare their budgets using the GIFMIS platform.  </w:t>
      </w:r>
    </w:p>
    <w:p w:rsidR="001C682A" w:rsidRDefault="00B03C38">
      <w:pPr>
        <w:pStyle w:val="Heading4"/>
        <w:spacing w:after="0" w:line="259" w:lineRule="auto"/>
        <w:ind w:left="213"/>
      </w:pPr>
      <w:bookmarkStart w:id="70" w:name="_Toc389417"/>
      <w:r>
        <w:rPr>
          <w:rFonts w:ascii="Calibri" w:eastAsia="Calibri" w:hAnsi="Calibri" w:cs="Calibri"/>
          <w:color w:val="1F3763"/>
        </w:rPr>
        <w:t xml:space="preserve">7.2.2 Creating Fiscal Space for Infrastructural Development </w:t>
      </w:r>
      <w:bookmarkEnd w:id="70"/>
    </w:p>
    <w:p w:rsidR="001C682A" w:rsidRDefault="00B03C38">
      <w:pPr>
        <w:spacing w:after="243"/>
        <w:ind w:left="236" w:right="816"/>
      </w:pPr>
      <w:r>
        <w:t xml:space="preserve">The rise in recurrent costs has resulted in restriction of amount available for capital investment. Government was unable to allocate a minimum of 30% of budgeted expenditure to capital projects in 2019 in line with the ERGP. This situation is further exacerbated by the impacts of the COVID-19 pandemic. Nonetheless, Government will continue to pursue its fiscal strategy of targeted public sector infrastructure spending in 2021-2023. Resources will be allocated to most productive and growth-enhancing sectors including Security, Infrastructure (including Power and Transportation), Agriculture, Manufacturing, Housing and Construction, Education, Health and Water Resources. This is with the aim of improving socio-economic infrastructure, supporting employment and stimulating economic growth. In addition, government support will be geared towards further stimulating activities of Micro, Small and Medium-Scale Enterprises (MSMEs).  </w:t>
      </w:r>
    </w:p>
    <w:p w:rsidR="001C682A" w:rsidRDefault="00B03C38">
      <w:pPr>
        <w:spacing w:after="230"/>
        <w:ind w:left="236" w:right="816"/>
      </w:pPr>
      <w:r>
        <w:lastRenderedPageBreak/>
        <w:t>Government will also leverage private and donor capital to supplement capital allocations from the Budget. To this end, Government will accelerate the construction of over 800km of roads and bridges under the Road Infrastructure Tax Credit Scheme. Furthermore, Government will strengthen the frameworks for concessions and public private partnerships, including working with the Legislature to address legislative and regulatory challenges to private investments in key sectors of the economy. It is expected that growth, in the medium term, will generate the revenue necessary for future expansion of public service delivery, rebuilding fiscal space, and narrowing new borrowing requirement.</w:t>
      </w:r>
      <w:r>
        <w:rPr>
          <w:rFonts w:ascii="Franklin Gothic Book" w:eastAsia="Franklin Gothic Book" w:hAnsi="Franklin Gothic Book" w:cs="Franklin Gothic Book"/>
          <w:sz w:val="24"/>
        </w:rPr>
        <w:t xml:space="preserve"> </w:t>
      </w:r>
    </w:p>
    <w:p w:rsidR="001C682A" w:rsidRDefault="00B03C38">
      <w:pPr>
        <w:pStyle w:val="Heading4"/>
        <w:spacing w:after="92" w:line="259" w:lineRule="auto"/>
        <w:ind w:left="213"/>
      </w:pPr>
      <w:bookmarkStart w:id="71" w:name="_Toc389418"/>
      <w:r>
        <w:rPr>
          <w:rFonts w:ascii="Calibri" w:eastAsia="Calibri" w:hAnsi="Calibri" w:cs="Calibri"/>
          <w:color w:val="1F3763"/>
        </w:rPr>
        <w:t xml:space="preserve">7.2.3 Enhancing Fiscal Prudence and Transparency </w:t>
      </w:r>
      <w:bookmarkEnd w:id="71"/>
    </w:p>
    <w:p w:rsidR="001C682A" w:rsidRDefault="00B03C38">
      <w:pPr>
        <w:spacing w:after="171"/>
        <w:ind w:left="236" w:right="816"/>
      </w:pPr>
      <w:r>
        <w:t xml:space="preserve">Government recently relaxed the fiscal consolidation earlier proposed to anchor the 2020 Budget to accommodate the special outlays required to address the COVID-19 Pandemic, protect the poor and vulnerable, as well as to resuscitate the economy. Nevertheless, Government remains committed to improving the efficiency and quality of its spending. Thus, public expenditure will continue to be properly scrutinized to ensure value for money.  </w:t>
      </w:r>
    </w:p>
    <w:p w:rsidR="001C682A" w:rsidRDefault="00B03C38">
      <w:pPr>
        <w:spacing w:after="165"/>
        <w:ind w:left="236" w:right="816"/>
      </w:pPr>
      <w:r>
        <w:t xml:space="preserve">In order to enhance fiscal prudence and transparency, the Government is implementing or intends to implement the following measures: </w:t>
      </w:r>
    </w:p>
    <w:p w:rsidR="001C682A" w:rsidRDefault="00B03C38">
      <w:pPr>
        <w:numPr>
          <w:ilvl w:val="0"/>
          <w:numId w:val="6"/>
        </w:numPr>
        <w:spacing w:after="167"/>
        <w:ind w:right="816" w:hanging="360"/>
      </w:pPr>
      <w:r>
        <w:t xml:space="preserve">Review and implementation of </w:t>
      </w:r>
      <w:proofErr w:type="spellStart"/>
      <w:r>
        <w:t>Oronsaye</w:t>
      </w:r>
      <w:proofErr w:type="spellEnd"/>
      <w:r>
        <w:t xml:space="preserve"> Report to reduce the number of MDAs; </w:t>
      </w:r>
    </w:p>
    <w:p w:rsidR="001C682A" w:rsidRDefault="00B03C38">
      <w:pPr>
        <w:numPr>
          <w:ilvl w:val="0"/>
          <w:numId w:val="6"/>
        </w:numPr>
        <w:spacing w:after="198"/>
        <w:ind w:right="816" w:hanging="360"/>
      </w:pPr>
      <w:r>
        <w:t xml:space="preserve">Transition to a PMS price modulation mechanism to be driven by underlying international oil and gas prices in the global markets; </w:t>
      </w:r>
    </w:p>
    <w:p w:rsidR="001C682A" w:rsidRDefault="00B03C38">
      <w:pPr>
        <w:numPr>
          <w:ilvl w:val="0"/>
          <w:numId w:val="6"/>
        </w:numPr>
        <w:spacing w:after="197"/>
        <w:ind w:right="816" w:hanging="360"/>
      </w:pPr>
      <w:r>
        <w:t xml:space="preserve">Review of Sectors eligible for Pioneer Tax Holiday Incentives under the Industrial Development Income Tax Relief Act (‘IDITRA’); </w:t>
      </w:r>
    </w:p>
    <w:p w:rsidR="001C682A" w:rsidRDefault="00B03C38">
      <w:pPr>
        <w:numPr>
          <w:ilvl w:val="0"/>
          <w:numId w:val="6"/>
        </w:numPr>
        <w:spacing w:after="166"/>
        <w:ind w:right="816" w:hanging="360"/>
      </w:pPr>
      <w:r>
        <w:t xml:space="preserve">Review of Fiscal Incentives of the National Automotive Policy; </w:t>
      </w:r>
    </w:p>
    <w:p w:rsidR="001C682A" w:rsidRDefault="00B03C38">
      <w:pPr>
        <w:numPr>
          <w:ilvl w:val="0"/>
          <w:numId w:val="6"/>
        </w:numPr>
        <w:spacing w:after="167"/>
        <w:ind w:right="816" w:hanging="360"/>
      </w:pPr>
      <w:r>
        <w:t xml:space="preserve">Review of process and approvals of Import Duty Exemption Certificates; </w:t>
      </w:r>
    </w:p>
    <w:p w:rsidR="001C682A" w:rsidRDefault="00B03C38">
      <w:pPr>
        <w:numPr>
          <w:ilvl w:val="0"/>
          <w:numId w:val="6"/>
        </w:numPr>
        <w:spacing w:after="198"/>
        <w:ind w:right="816" w:hanging="360"/>
      </w:pPr>
      <w:r>
        <w:t xml:space="preserve">Evaluation of current suite of Fiscal Incentives including Auto Policy Incentives and Import Duty Exemptions; </w:t>
      </w:r>
    </w:p>
    <w:p w:rsidR="001C682A" w:rsidRDefault="00B03C38">
      <w:pPr>
        <w:numPr>
          <w:ilvl w:val="0"/>
          <w:numId w:val="6"/>
        </w:numPr>
        <w:spacing w:after="167"/>
        <w:ind w:right="816" w:hanging="360"/>
      </w:pPr>
      <w:r>
        <w:t xml:space="preserve">Tax Expenditure studies &amp; review of Tax Expenditures;  </w:t>
      </w:r>
    </w:p>
    <w:p w:rsidR="001C682A" w:rsidRDefault="00B03C38">
      <w:pPr>
        <w:numPr>
          <w:ilvl w:val="0"/>
          <w:numId w:val="6"/>
        </w:numPr>
        <w:spacing w:after="200"/>
        <w:ind w:right="816" w:hanging="360"/>
      </w:pPr>
      <w:r>
        <w:t xml:space="preserve">Consolidation of Government rental accommodation and centralization of electricity payment; </w:t>
      </w:r>
    </w:p>
    <w:p w:rsidR="001C682A" w:rsidRDefault="00B03C38">
      <w:pPr>
        <w:numPr>
          <w:ilvl w:val="0"/>
          <w:numId w:val="6"/>
        </w:numPr>
        <w:spacing w:after="167"/>
        <w:ind w:right="816" w:hanging="360"/>
      </w:pPr>
      <w:r>
        <w:t xml:space="preserve">Strengthening treasury financial controls to speedily detect, eliminate and sanction instances of waste, misappropriation and corruption. </w:t>
      </w:r>
    </w:p>
    <w:p w:rsidR="001C682A" w:rsidRDefault="00B03C38">
      <w:pPr>
        <w:numPr>
          <w:ilvl w:val="0"/>
          <w:numId w:val="6"/>
        </w:numPr>
        <w:spacing w:after="152"/>
        <w:ind w:right="816" w:hanging="360"/>
      </w:pPr>
      <w:r>
        <w:t xml:space="preserve">Reintegration of cash management function into core budgeting system to ensure that in-year budget Monitoring &amp; Evaluation (M&amp;E) results inform fund releases on a real time basis, and that future budget projections are also guided by evidence of funds utilization. This will ensure conversion of liquidity into the achievement of outputs and outcomes. </w:t>
      </w:r>
    </w:p>
    <w:p w:rsidR="001C682A" w:rsidRDefault="00B03C38">
      <w:pPr>
        <w:ind w:left="236" w:right="816"/>
      </w:pPr>
      <w:r>
        <w:t xml:space="preserve">A detailed review of recurrent and capital expenditures will be undertaken in advance of 2021 Budget. Spending trends and pressures will be examined to </w:t>
      </w:r>
      <w:proofErr w:type="gramStart"/>
      <w:r>
        <w:t>help  identify</w:t>
      </w:r>
      <w:proofErr w:type="gramEnd"/>
      <w:r>
        <w:t xml:space="preserve"> ways of addressing the challenges arising in the context of fiscal policy. Review of capital expenditure is key in identifying and eliminating non-priority MDA expenditure so as to accommodate critical, </w:t>
      </w:r>
      <w:proofErr w:type="spellStart"/>
      <w:r>
        <w:t>propoor</w:t>
      </w:r>
      <w:proofErr w:type="spellEnd"/>
      <w:r>
        <w:t xml:space="preserve"> and growth-enhancing capital expenditures. </w:t>
      </w:r>
    </w:p>
    <w:p w:rsidR="001C682A" w:rsidRDefault="00B03C38">
      <w:pPr>
        <w:ind w:left="236" w:right="816"/>
      </w:pPr>
      <w:r>
        <w:lastRenderedPageBreak/>
        <w:t>An important fiscal strategy to keep public expenditures at sustainable levels in the medium term is to rationalize the Government wage bill. The aim is to gradually clean the Government payroll. Towards this end, efforts will be intensified to complete the extension of the Integrated</w:t>
      </w:r>
    </w:p>
    <w:p w:rsidR="001C682A" w:rsidRDefault="00B03C38">
      <w:pPr>
        <w:spacing w:after="152"/>
        <w:ind w:left="236" w:right="816"/>
      </w:pPr>
      <w:r>
        <w:t xml:space="preserve">Payroll and Personnel Information System to all MDAs to improve the effectiveness and efficiency of payroll administration. In addition, all modules of the Integrated Personnel and Payroll Information System (IPPIS) will be fully implemented across all agencies of government. </w:t>
      </w:r>
    </w:p>
    <w:p w:rsidR="001C682A" w:rsidRDefault="00B03C38">
      <w:pPr>
        <w:spacing w:after="173"/>
        <w:ind w:left="236" w:right="816"/>
      </w:pPr>
      <w:r>
        <w:t>Personnel and pension costs account for the largest single item of expenditure, rising steadily in recent times from N1.88 trillion in 2016 to N2.06 trillion in 2017 and N2.56 trillion in 2019. In 2017, personnel costs accounted for about 77% of total revenues as against 64% in 2016. In 2019, personnel costs amounted to 63% of revenues. Similarly, personnel emoluments accounted for about 37% of total Federal Government expenditure between 2015 and 2017 and 31% in 2019. To realise the goal of controlling personnel costs, Government has introduced measures such as a temporary freeze on non-critical recruitment outside of the Security and Healthcare sectors</w:t>
      </w:r>
      <w:r>
        <w:rPr>
          <w:color w:val="FF0000"/>
        </w:rPr>
        <w:t xml:space="preserve">. </w:t>
      </w:r>
    </w:p>
    <w:p w:rsidR="001C682A" w:rsidRDefault="00B03C38">
      <w:pPr>
        <w:spacing w:after="63"/>
        <w:ind w:left="236" w:right="816"/>
      </w:pPr>
      <w:r>
        <w:t xml:space="preserve">To further improve fiscal transparency, the Tax Expenditure Statement will become a key component of the Federal Government’s reporting on the Nigerian tax system. The Statement would provide estimated cost of main tax expenditures in a year in terms of revenue forgone. </w:t>
      </w:r>
    </w:p>
    <w:p w:rsidR="001C682A" w:rsidRDefault="00B03C38">
      <w:pPr>
        <w:pStyle w:val="Heading4"/>
        <w:spacing w:after="63" w:line="271" w:lineRule="auto"/>
        <w:ind w:left="236" w:right="816"/>
        <w:jc w:val="both"/>
      </w:pPr>
      <w:bookmarkStart w:id="72" w:name="_Toc389419"/>
      <w:r>
        <w:rPr>
          <w:rFonts w:ascii="Calibri" w:eastAsia="Calibri" w:hAnsi="Calibri" w:cs="Calibri"/>
          <w:color w:val="1F3763"/>
        </w:rPr>
        <w:t xml:space="preserve">7.2.4 Ensuring Sustainable Deficit and Debt Levels </w:t>
      </w:r>
      <w:bookmarkEnd w:id="72"/>
    </w:p>
    <w:p w:rsidR="001C682A" w:rsidRDefault="00B03C38">
      <w:pPr>
        <w:spacing w:after="183"/>
        <w:ind w:left="236" w:right="816"/>
      </w:pPr>
      <w:r>
        <w:t xml:space="preserve">Fiscal deficits have been rising recently as government adopted an expansionary fiscal stance to get the economy back on the path of sustainable growth. This has further worsened with the effects of COVID-19 on government finances. However, government deficit will be moderated in the medium-term in a gradual, phased manner through a combination of revenue and expenditure measures. As measures to improve revenue collections yield results, government will ease off significant deficit budgeting. </w:t>
      </w:r>
    </w:p>
    <w:p w:rsidR="001C682A" w:rsidRDefault="00B03C38">
      <w:pPr>
        <w:spacing w:after="461"/>
        <w:ind w:left="236" w:right="816"/>
      </w:pPr>
      <w:r>
        <w:t xml:space="preserve">The lower budget deficit will help to reduce the rate of domestic debt accumulation and the resulting debt service payments, contain deficit monetization and the attendant macroeconomic dislocations. To ensure debt sustainability, total public debt will be kept at our self-imposed debt sustainability threshold of 40% of GDP. It has however become necessary to consider setting other prudential limits like Debt Service/Revenue Ratio to ensure continuing sustainability of FGN’s debts. Government will also </w:t>
      </w:r>
      <w:proofErr w:type="spellStart"/>
      <w:r>
        <w:t>negotiatiate</w:t>
      </w:r>
      <w:proofErr w:type="spellEnd"/>
      <w:r>
        <w:t xml:space="preserve"> a break on debt service with the Central Bank of Nigeria. </w:t>
      </w:r>
    </w:p>
    <w:p w:rsidR="001C682A" w:rsidRDefault="00B03C38">
      <w:pPr>
        <w:pStyle w:val="Heading3"/>
        <w:tabs>
          <w:tab w:val="center" w:pos="415"/>
          <w:tab w:val="center" w:pos="3696"/>
        </w:tabs>
        <w:spacing w:after="0" w:line="259" w:lineRule="auto"/>
        <w:ind w:left="0" w:firstLine="0"/>
      </w:pPr>
      <w:bookmarkStart w:id="73" w:name="_Toc389420"/>
      <w:r>
        <w:rPr>
          <w:rFonts w:ascii="Calibri" w:eastAsia="Calibri" w:hAnsi="Calibri" w:cs="Calibri"/>
          <w:color w:val="000000"/>
          <w:sz w:val="22"/>
        </w:rPr>
        <w:tab/>
      </w:r>
      <w:r>
        <w:rPr>
          <w:b/>
        </w:rPr>
        <w:t xml:space="preserve">7.3 </w:t>
      </w:r>
      <w:r>
        <w:rPr>
          <w:b/>
        </w:rPr>
        <w:tab/>
        <w:t xml:space="preserve">Monetary Policy Objectives and Strategy </w:t>
      </w:r>
      <w:bookmarkEnd w:id="73"/>
    </w:p>
    <w:p w:rsidR="001C682A" w:rsidRDefault="00B03C38">
      <w:pPr>
        <w:spacing w:after="187"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30411" name="Group 330411"/>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767" name="Shape 395767"/>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30411" style="width:453.91pt;height:0.47998pt;mso-position-horizontal-relative:char;mso-position-vertical-relative:line" coordsize="57646,60">
                <v:shape id="Shape 395768"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spacing w:after="127"/>
        <w:ind w:left="236" w:right="816"/>
      </w:pPr>
      <w:r>
        <w:t xml:space="preserve">The direction of monetary policy by the Central Bank of Nigeria in the medium term (20212023) is outlined below. It is premised principally on key assumptions and underlying macroeconomic conditions as projected by the Bank in the period under consideration. </w:t>
      </w:r>
    </w:p>
    <w:p w:rsidR="001C682A" w:rsidRDefault="00B03C38">
      <w:pPr>
        <w:pStyle w:val="Heading4"/>
        <w:tabs>
          <w:tab w:val="center" w:pos="460"/>
          <w:tab w:val="center" w:pos="2252"/>
        </w:tabs>
        <w:spacing w:after="0" w:line="259" w:lineRule="auto"/>
        <w:ind w:left="0" w:firstLine="0"/>
      </w:pPr>
      <w:bookmarkStart w:id="74" w:name="_Toc389421"/>
      <w:r>
        <w:rPr>
          <w:rFonts w:ascii="Calibri" w:eastAsia="Calibri" w:hAnsi="Calibri" w:cs="Calibri"/>
          <w:color w:val="000000"/>
          <w:sz w:val="22"/>
        </w:rPr>
        <w:tab/>
      </w:r>
      <w:r>
        <w:rPr>
          <w:rFonts w:ascii="Calibri" w:eastAsia="Calibri" w:hAnsi="Calibri" w:cs="Calibri"/>
          <w:color w:val="1F3763"/>
          <w:sz w:val="24"/>
        </w:rPr>
        <w:t xml:space="preserve">7.3.1 </w:t>
      </w:r>
      <w:r>
        <w:rPr>
          <w:rFonts w:ascii="Calibri" w:eastAsia="Calibri" w:hAnsi="Calibri" w:cs="Calibri"/>
          <w:color w:val="1F3763"/>
          <w:sz w:val="24"/>
        </w:rPr>
        <w:tab/>
        <w:t xml:space="preserve">Monetary Policy Objectives </w:t>
      </w:r>
      <w:bookmarkEnd w:id="74"/>
    </w:p>
    <w:p w:rsidR="001C682A" w:rsidRDefault="00B03C38">
      <w:pPr>
        <w:ind w:left="236" w:right="816"/>
      </w:pPr>
      <w:r>
        <w:t xml:space="preserve">In the first quarter of 2020, the economy witnessed a slower quarterly GDP growth rate, rising inflation, increasing balance of payment deficit, bearish capital market condition, rising national debt profile, exchange rate pressures, sharp decrease in oil prices, declining government revenue and rising unemployment rate. These macroeconomic conditions, if not </w:t>
      </w:r>
      <w:r>
        <w:lastRenderedPageBreak/>
        <w:t xml:space="preserve">abated by the third and fourth quarters of 2020, would mean negative year-on year output growth and deteriorated financial system conditions for the year.  </w:t>
      </w:r>
    </w:p>
    <w:p w:rsidR="001C682A" w:rsidRDefault="00B03C38">
      <w:pPr>
        <w:spacing w:after="246"/>
        <w:ind w:left="236" w:right="816"/>
      </w:pPr>
      <w:r>
        <w:t xml:space="preserve">Given these, the goal of monetary policy over the medium term would be to minimize the adverse impacts of these headwinds and ensure that the emerging recessionary conditions are rapidly reversed. The Central Bank of Nigeria will continue to align the conduct of monetary policy with the overall macroeconomic goals as enshrined in the Medium-Term Expenditure Framework of the Federal Government. </w:t>
      </w:r>
    </w:p>
    <w:p w:rsidR="001C682A" w:rsidRDefault="00B03C38">
      <w:pPr>
        <w:spacing w:after="243"/>
        <w:ind w:left="236" w:right="816"/>
      </w:pPr>
      <w:r>
        <w:t xml:space="preserve">Thus, the Bank’s monetary projections were prepared using the CBN Monetary and Financial Programming Template, to obtain the indicative monetary aggregate benchmarks consistent with the desired overall macroeconomic objectives of the Federal Government of Nigeria.  </w:t>
      </w:r>
    </w:p>
    <w:p w:rsidR="001C682A" w:rsidRDefault="00B03C38">
      <w:pPr>
        <w:spacing w:after="303"/>
        <w:ind w:left="236" w:right="816"/>
      </w:pPr>
      <w:r>
        <w:t xml:space="preserve">Notwithstanding the foregoing, the Bank would periodically review the monetary programme to ensure consistency with evolving global and domestic macroeconomic conditions and the effectiveness of the applied monetary policy tools. In addition, the Bank would collaborate with all other relevant public and private sector stakeholders to ensure effective coordination and implementation of the outlined strategies of the medium-term framework (MTF). </w:t>
      </w:r>
    </w:p>
    <w:p w:rsidR="001C682A" w:rsidRDefault="00B03C38">
      <w:pPr>
        <w:pStyle w:val="Heading4"/>
        <w:spacing w:after="151" w:line="259" w:lineRule="auto"/>
        <w:ind w:left="213"/>
      </w:pPr>
      <w:bookmarkStart w:id="75" w:name="_Toc389422"/>
      <w:r>
        <w:rPr>
          <w:rFonts w:ascii="Calibri" w:eastAsia="Calibri" w:hAnsi="Calibri" w:cs="Calibri"/>
          <w:color w:val="1F3763"/>
        </w:rPr>
        <w:t xml:space="preserve">7.3.2 Monetary Policy Stance </w:t>
      </w:r>
      <w:bookmarkEnd w:id="75"/>
    </w:p>
    <w:p w:rsidR="001C682A" w:rsidRDefault="00B03C38">
      <w:pPr>
        <w:spacing w:after="244"/>
        <w:ind w:left="236" w:right="816"/>
      </w:pPr>
      <w:r>
        <w:t xml:space="preserve">The Central Bank of Nigeria (CBN) would continue to adopt the medium-term framework (MTF) in the conduct of monetary policy in the fiscal years 2021/2023. Accordingly, the monetary programme for the 2020/2022 fiscal year is adjusted to accommodate recent changes to fiscal operations in 2020 and projections of 2021 and 2022 fiscal years. This is to obtain the indicative monetary aggregate benchmarks consistent with the desired overall macroeconomic objectives of the Federal Government. The 2021/2023 monetary policy thrust would be anchored on the need to augment the fiscal stimulus packages to restart and restore the economy following the effects of the COVID-19 pandemic.   </w:t>
      </w:r>
    </w:p>
    <w:p w:rsidR="001C682A" w:rsidRDefault="00B03C38">
      <w:pPr>
        <w:spacing w:after="39"/>
        <w:ind w:left="236" w:right="816"/>
      </w:pPr>
      <w:r>
        <w:t xml:space="preserve">In ensuring the attainment of monetary and price stability for sustainable growth recovery and economic development, the 2021/2023 monetary programme was based on: </w:t>
      </w:r>
    </w:p>
    <w:p w:rsidR="001C682A" w:rsidRDefault="00B03C38">
      <w:pPr>
        <w:numPr>
          <w:ilvl w:val="0"/>
          <w:numId w:val="7"/>
        </w:numPr>
        <w:spacing w:after="39"/>
        <w:ind w:left="939" w:right="816" w:hanging="437"/>
      </w:pPr>
      <w:r>
        <w:t xml:space="preserve">Money supply that would cushion the effect of the shocks from the pandemic on economic performance and growth; </w:t>
      </w:r>
    </w:p>
    <w:p w:rsidR="001C682A" w:rsidRDefault="00B03C38">
      <w:pPr>
        <w:numPr>
          <w:ilvl w:val="0"/>
          <w:numId w:val="7"/>
        </w:numPr>
        <w:spacing w:after="39"/>
        <w:ind w:left="939" w:right="816" w:hanging="437"/>
      </w:pPr>
      <w:r>
        <w:t xml:space="preserve">Moderate levels of accretion to external reserves based on net FX inflows, reflecting reduced oil revenue but even less foreign exchange demand given low global economic activities; </w:t>
      </w:r>
    </w:p>
    <w:p w:rsidR="001C682A" w:rsidRDefault="00B03C38">
      <w:pPr>
        <w:numPr>
          <w:ilvl w:val="0"/>
          <w:numId w:val="7"/>
        </w:numPr>
        <w:spacing w:after="39"/>
        <w:ind w:left="939" w:right="816" w:hanging="437"/>
      </w:pPr>
      <w:r>
        <w:t xml:space="preserve">Domestic credit expansion to support private sector growth, particularly, to the real and critical sectors of the economy; </w:t>
      </w:r>
    </w:p>
    <w:p w:rsidR="001C682A" w:rsidRDefault="00B03C38">
      <w:pPr>
        <w:numPr>
          <w:ilvl w:val="0"/>
          <w:numId w:val="7"/>
        </w:numPr>
        <w:spacing w:after="39"/>
        <w:ind w:left="939" w:right="816" w:hanging="437"/>
      </w:pPr>
      <w:r>
        <w:t xml:space="preserve">Expansion in agricultural and manufacturing output growth through targeted interventions in the agriculture and Micro, Small and Medium Enterprises (MSMEs) sectors to improve employment generation and household income; </w:t>
      </w:r>
    </w:p>
    <w:p w:rsidR="001C682A" w:rsidRDefault="00B03C38">
      <w:pPr>
        <w:numPr>
          <w:ilvl w:val="0"/>
          <w:numId w:val="7"/>
        </w:numPr>
        <w:spacing w:after="39"/>
        <w:ind w:left="939" w:right="816" w:hanging="437"/>
      </w:pPr>
      <w:r>
        <w:t xml:space="preserve">Improve stability of the foreign exchange market to enhance market confidence, moderate foreign capital outflow and encourage foreign capital inflow; </w:t>
      </w:r>
    </w:p>
    <w:p w:rsidR="001C682A" w:rsidRDefault="00B03C38">
      <w:pPr>
        <w:numPr>
          <w:ilvl w:val="0"/>
          <w:numId w:val="7"/>
        </w:numPr>
        <w:spacing w:after="39"/>
        <w:ind w:left="939" w:right="816" w:hanging="437"/>
      </w:pPr>
      <w:r>
        <w:t xml:space="preserve">Improve terms of trade through increased non-oil export and decline in non-essential imports to improve the balance of payment position and accretion to external reserves; </w:t>
      </w:r>
    </w:p>
    <w:p w:rsidR="001C682A" w:rsidRDefault="00B03C38">
      <w:pPr>
        <w:numPr>
          <w:ilvl w:val="0"/>
          <w:numId w:val="7"/>
        </w:numPr>
        <w:ind w:left="939" w:right="816" w:hanging="437"/>
      </w:pPr>
      <w:r>
        <w:t xml:space="preserve">Increased collaboration with fiscal authorities to provide monetary accommodation for the projected fiscal expansion necessary for economic recovery and growth in the immediate aftermath of COVID-19. </w:t>
      </w:r>
    </w:p>
    <w:p w:rsidR="001C682A" w:rsidRDefault="00B03C38">
      <w:pPr>
        <w:spacing w:after="0" w:line="259" w:lineRule="auto"/>
        <w:ind w:left="218" w:firstLine="0"/>
        <w:jc w:val="left"/>
      </w:pPr>
      <w:r>
        <w:lastRenderedPageBreak/>
        <w:t xml:space="preserve"> </w:t>
      </w:r>
    </w:p>
    <w:p w:rsidR="001C682A" w:rsidRDefault="00B03C38">
      <w:pPr>
        <w:spacing w:after="243"/>
        <w:ind w:left="236" w:right="816"/>
      </w:pPr>
      <w:r>
        <w:t xml:space="preserve">The CBN monetary programme was premised on the assumptions of large fiscal expansion in response to the impact of COVID-19 in 2020 through to 2022, increased government spending pre-2023 general elections and the effective implementation of Nigeria Economic Sustainability Plan  </w:t>
      </w:r>
    </w:p>
    <w:p w:rsidR="001C682A" w:rsidRDefault="00B03C38">
      <w:pPr>
        <w:spacing w:after="301"/>
        <w:ind w:left="236" w:right="816"/>
      </w:pPr>
      <w:r>
        <w:t>Sequel to the above, the 2021 – 2023 MTF monetary programme included a benchmark of average exchange rate of $USD/</w:t>
      </w:r>
      <w:r>
        <w:rPr>
          <w:dstrike/>
        </w:rPr>
        <w:t>N</w:t>
      </w:r>
      <w:r>
        <w:t xml:space="preserve">375.86, in line with projected crude oil production and price benchmarks for 2021, 2022 and 2023, respectively.  The detailed macroeconomic projections for the framework based on these benchmarks are presented in Table 7.1  </w:t>
      </w:r>
    </w:p>
    <w:p w:rsidR="001C682A" w:rsidRDefault="00B03C38">
      <w:pPr>
        <w:spacing w:after="256" w:line="259" w:lineRule="auto"/>
        <w:ind w:right="616"/>
        <w:jc w:val="center"/>
      </w:pPr>
      <w:r>
        <w:rPr>
          <w:b/>
          <w:sz w:val="24"/>
        </w:rPr>
        <w:t xml:space="preserve">Table 7.1 </w:t>
      </w:r>
    </w:p>
    <w:p w:rsidR="001C682A" w:rsidRDefault="00B03C38">
      <w:pPr>
        <w:spacing w:after="0" w:line="259" w:lineRule="auto"/>
        <w:ind w:right="614"/>
        <w:jc w:val="center"/>
      </w:pPr>
      <w:r>
        <w:rPr>
          <w:b/>
          <w:sz w:val="24"/>
        </w:rPr>
        <w:t xml:space="preserve">Selected Macroeconomic Projections for the 2021- 2023 MTEF </w:t>
      </w:r>
    </w:p>
    <w:tbl>
      <w:tblPr>
        <w:tblStyle w:val="TableGrid"/>
        <w:tblW w:w="8080" w:type="dxa"/>
        <w:tblInd w:w="689" w:type="dxa"/>
        <w:tblCellMar>
          <w:top w:w="7" w:type="dxa"/>
          <w:left w:w="79" w:type="dxa"/>
          <w:right w:w="115" w:type="dxa"/>
        </w:tblCellMar>
        <w:tblLook w:val="04A0" w:firstRow="1" w:lastRow="0" w:firstColumn="1" w:lastColumn="0" w:noHBand="0" w:noVBand="1"/>
      </w:tblPr>
      <w:tblGrid>
        <w:gridCol w:w="4255"/>
        <w:gridCol w:w="1274"/>
        <w:gridCol w:w="1277"/>
        <w:gridCol w:w="1274"/>
      </w:tblGrid>
      <w:tr w:rsidR="001C682A">
        <w:trPr>
          <w:trHeight w:val="391"/>
        </w:trPr>
        <w:tc>
          <w:tcPr>
            <w:tcW w:w="4254" w:type="dxa"/>
            <w:tcBorders>
              <w:top w:val="single" w:sz="33" w:space="0" w:color="FFFFFF"/>
              <w:left w:val="nil"/>
              <w:bottom w:val="double" w:sz="32" w:space="0" w:color="FFFFFF"/>
              <w:right w:val="single" w:sz="4" w:space="0" w:color="000000"/>
            </w:tcBorders>
          </w:tcPr>
          <w:p w:rsidR="001C682A" w:rsidRDefault="00B03C38">
            <w:pPr>
              <w:spacing w:after="0" w:line="259" w:lineRule="auto"/>
              <w:ind w:left="0" w:firstLine="0"/>
              <w:jc w:val="left"/>
            </w:pPr>
            <w:r>
              <w:rPr>
                <w:b/>
              </w:rPr>
              <w:t>Indicator</w:t>
            </w:r>
            <w:r>
              <w:rPr>
                <w:rFonts w:ascii="Franklin Gothic Book" w:eastAsia="Franklin Gothic Book" w:hAnsi="Franklin Gothic Book" w:cs="Franklin Gothic Book"/>
                <w:sz w:val="24"/>
              </w:rPr>
              <w:t xml:space="preserve"> </w:t>
            </w:r>
          </w:p>
        </w:tc>
        <w:tc>
          <w:tcPr>
            <w:tcW w:w="1274" w:type="dxa"/>
            <w:tcBorders>
              <w:top w:val="single" w:sz="33" w:space="0" w:color="FFFFFF"/>
              <w:left w:val="single" w:sz="4" w:space="0" w:color="000000"/>
              <w:bottom w:val="double" w:sz="32" w:space="0" w:color="FFFFFF"/>
              <w:right w:val="single" w:sz="4" w:space="0" w:color="000000"/>
            </w:tcBorders>
          </w:tcPr>
          <w:p w:rsidR="001C682A" w:rsidRDefault="00B03C38">
            <w:pPr>
              <w:spacing w:after="0" w:line="259" w:lineRule="auto"/>
              <w:ind w:left="38" w:firstLine="0"/>
              <w:jc w:val="center"/>
            </w:pPr>
            <w:r>
              <w:rPr>
                <w:b/>
              </w:rPr>
              <w:t>2021</w:t>
            </w:r>
            <w:r>
              <w:rPr>
                <w:rFonts w:ascii="Franklin Gothic Book" w:eastAsia="Franklin Gothic Book" w:hAnsi="Franklin Gothic Book" w:cs="Franklin Gothic Book"/>
                <w:sz w:val="24"/>
              </w:rPr>
              <w:t xml:space="preserve"> </w:t>
            </w:r>
          </w:p>
        </w:tc>
        <w:tc>
          <w:tcPr>
            <w:tcW w:w="1277" w:type="dxa"/>
            <w:tcBorders>
              <w:top w:val="single" w:sz="33" w:space="0" w:color="FFFFFF"/>
              <w:left w:val="single" w:sz="4" w:space="0" w:color="000000"/>
              <w:bottom w:val="double" w:sz="32" w:space="0" w:color="FFFFFF"/>
              <w:right w:val="single" w:sz="4" w:space="0" w:color="000000"/>
            </w:tcBorders>
          </w:tcPr>
          <w:p w:rsidR="001C682A" w:rsidRDefault="00B03C38">
            <w:pPr>
              <w:spacing w:after="0" w:line="259" w:lineRule="auto"/>
              <w:ind w:left="40" w:firstLine="0"/>
              <w:jc w:val="center"/>
            </w:pPr>
            <w:r>
              <w:rPr>
                <w:b/>
              </w:rPr>
              <w:t>2022</w:t>
            </w:r>
            <w:r>
              <w:rPr>
                <w:rFonts w:ascii="Franklin Gothic Book" w:eastAsia="Franklin Gothic Book" w:hAnsi="Franklin Gothic Book" w:cs="Franklin Gothic Book"/>
                <w:sz w:val="24"/>
              </w:rPr>
              <w:t xml:space="preserve"> </w:t>
            </w:r>
          </w:p>
        </w:tc>
        <w:tc>
          <w:tcPr>
            <w:tcW w:w="1274" w:type="dxa"/>
            <w:tcBorders>
              <w:top w:val="single" w:sz="33" w:space="0" w:color="FFFFFF"/>
              <w:left w:val="single" w:sz="4" w:space="0" w:color="000000"/>
              <w:bottom w:val="double" w:sz="32" w:space="0" w:color="FFFFFF"/>
              <w:right w:val="nil"/>
            </w:tcBorders>
          </w:tcPr>
          <w:p w:rsidR="001C682A" w:rsidRDefault="00B03C38">
            <w:pPr>
              <w:spacing w:after="0" w:line="259" w:lineRule="auto"/>
              <w:ind w:left="38" w:firstLine="0"/>
              <w:jc w:val="center"/>
            </w:pPr>
            <w:r>
              <w:rPr>
                <w:b/>
              </w:rPr>
              <w:t>2023</w:t>
            </w:r>
            <w:r>
              <w:rPr>
                <w:rFonts w:ascii="Franklin Gothic Book" w:eastAsia="Franklin Gothic Book" w:hAnsi="Franklin Gothic Book" w:cs="Franklin Gothic Book"/>
                <w:sz w:val="24"/>
              </w:rPr>
              <w:t xml:space="preserve"> </w:t>
            </w:r>
          </w:p>
        </w:tc>
      </w:tr>
      <w:tr w:rsidR="001C682A">
        <w:trPr>
          <w:trHeight w:val="511"/>
        </w:trPr>
        <w:tc>
          <w:tcPr>
            <w:tcW w:w="4254" w:type="dxa"/>
            <w:tcBorders>
              <w:top w:val="double" w:sz="32" w:space="0" w:color="FFFFFF"/>
              <w:left w:val="nil"/>
              <w:bottom w:val="nil"/>
              <w:right w:val="single" w:sz="4" w:space="0" w:color="000000"/>
            </w:tcBorders>
          </w:tcPr>
          <w:p w:rsidR="001C682A" w:rsidRDefault="00B03C38">
            <w:pPr>
              <w:spacing w:after="0" w:line="259" w:lineRule="auto"/>
              <w:ind w:left="0" w:firstLine="0"/>
              <w:jc w:val="left"/>
            </w:pPr>
            <w:r>
              <w:rPr>
                <w:sz w:val="20"/>
              </w:rPr>
              <w:t>Narrow Money (M1) (Billion Naira)</w:t>
            </w:r>
            <w:r>
              <w:rPr>
                <w:rFonts w:ascii="Franklin Gothic Book" w:eastAsia="Franklin Gothic Book" w:hAnsi="Franklin Gothic Book" w:cs="Franklin Gothic Book"/>
                <w:sz w:val="24"/>
              </w:rPr>
              <w:t xml:space="preserve"> </w:t>
            </w:r>
          </w:p>
        </w:tc>
        <w:tc>
          <w:tcPr>
            <w:tcW w:w="1274" w:type="dxa"/>
            <w:tcBorders>
              <w:top w:val="double" w:sz="32" w:space="0" w:color="FFFFFF"/>
              <w:left w:val="single" w:sz="4" w:space="0" w:color="000000"/>
              <w:bottom w:val="nil"/>
              <w:right w:val="single" w:sz="4" w:space="0" w:color="000000"/>
            </w:tcBorders>
          </w:tcPr>
          <w:p w:rsidR="001C682A" w:rsidRDefault="00B03C38">
            <w:pPr>
              <w:spacing w:after="0" w:line="259" w:lineRule="auto"/>
              <w:ind w:left="34" w:firstLine="0"/>
              <w:jc w:val="center"/>
            </w:pPr>
            <w:r>
              <w:rPr>
                <w:sz w:val="20"/>
              </w:rPr>
              <w:t>11,814.66</w:t>
            </w:r>
            <w:r>
              <w:rPr>
                <w:rFonts w:ascii="Franklin Gothic Book" w:eastAsia="Franklin Gothic Book" w:hAnsi="Franklin Gothic Book" w:cs="Franklin Gothic Book"/>
                <w:sz w:val="24"/>
              </w:rPr>
              <w:t xml:space="preserve"> </w:t>
            </w:r>
          </w:p>
        </w:tc>
        <w:tc>
          <w:tcPr>
            <w:tcW w:w="1277" w:type="dxa"/>
            <w:tcBorders>
              <w:top w:val="double" w:sz="32" w:space="0" w:color="FFFFFF"/>
              <w:left w:val="single" w:sz="4" w:space="0" w:color="000000"/>
              <w:bottom w:val="nil"/>
              <w:right w:val="single" w:sz="4" w:space="0" w:color="000000"/>
            </w:tcBorders>
          </w:tcPr>
          <w:p w:rsidR="001C682A" w:rsidRDefault="00B03C38">
            <w:pPr>
              <w:spacing w:after="0" w:line="259" w:lineRule="auto"/>
              <w:ind w:left="35" w:firstLine="0"/>
              <w:jc w:val="center"/>
            </w:pPr>
            <w:r>
              <w:rPr>
                <w:sz w:val="20"/>
              </w:rPr>
              <w:t>13,067.01</w:t>
            </w:r>
            <w:r>
              <w:rPr>
                <w:rFonts w:ascii="Franklin Gothic Book" w:eastAsia="Franklin Gothic Book" w:hAnsi="Franklin Gothic Book" w:cs="Franklin Gothic Book"/>
                <w:sz w:val="24"/>
              </w:rPr>
              <w:t xml:space="preserve"> </w:t>
            </w:r>
          </w:p>
        </w:tc>
        <w:tc>
          <w:tcPr>
            <w:tcW w:w="1274" w:type="dxa"/>
            <w:tcBorders>
              <w:top w:val="double" w:sz="32" w:space="0" w:color="FFFFFF"/>
              <w:left w:val="single" w:sz="4" w:space="0" w:color="000000"/>
              <w:bottom w:val="nil"/>
              <w:right w:val="nil"/>
            </w:tcBorders>
          </w:tcPr>
          <w:p w:rsidR="001C682A" w:rsidRDefault="00B03C38">
            <w:pPr>
              <w:spacing w:after="0" w:line="259" w:lineRule="auto"/>
              <w:ind w:left="33" w:firstLine="0"/>
              <w:jc w:val="center"/>
            </w:pPr>
            <w:r>
              <w:rPr>
                <w:sz w:val="20"/>
              </w:rPr>
              <w:t>14,227.36</w:t>
            </w:r>
            <w:r>
              <w:rPr>
                <w:rFonts w:ascii="Franklin Gothic Book" w:eastAsia="Franklin Gothic Book" w:hAnsi="Franklin Gothic Book" w:cs="Franklin Gothic Book"/>
                <w:sz w:val="24"/>
              </w:rPr>
              <w:t xml:space="preserve"> </w:t>
            </w:r>
          </w:p>
        </w:tc>
      </w:tr>
      <w:tr w:rsidR="001C682A">
        <w:trPr>
          <w:trHeight w:val="583"/>
        </w:trPr>
        <w:tc>
          <w:tcPr>
            <w:tcW w:w="4254" w:type="dxa"/>
            <w:tcBorders>
              <w:top w:val="nil"/>
              <w:left w:val="nil"/>
              <w:bottom w:val="nil"/>
              <w:right w:val="single" w:sz="4" w:space="0" w:color="000000"/>
            </w:tcBorders>
            <w:shd w:val="clear" w:color="auto" w:fill="FFFFFF"/>
          </w:tcPr>
          <w:p w:rsidR="001C682A" w:rsidRDefault="00B03C38">
            <w:pPr>
              <w:spacing w:after="0" w:line="259" w:lineRule="auto"/>
              <w:ind w:left="0" w:firstLine="0"/>
              <w:jc w:val="left"/>
            </w:pPr>
            <w:r>
              <w:rPr>
                <w:sz w:val="20"/>
              </w:rPr>
              <w:t>M1 Growth Rate</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single" w:sz="4" w:space="0" w:color="000000"/>
            </w:tcBorders>
            <w:shd w:val="clear" w:color="auto" w:fill="FFFFFF"/>
          </w:tcPr>
          <w:p w:rsidR="001C682A" w:rsidRDefault="00B03C38">
            <w:pPr>
              <w:spacing w:after="0" w:line="259" w:lineRule="auto"/>
              <w:ind w:left="34" w:firstLine="0"/>
              <w:jc w:val="center"/>
            </w:pPr>
            <w:r>
              <w:rPr>
                <w:sz w:val="20"/>
              </w:rPr>
              <w:t>12.20</w:t>
            </w:r>
            <w:r>
              <w:rPr>
                <w:rFonts w:ascii="Franklin Gothic Book" w:eastAsia="Franklin Gothic Book" w:hAnsi="Franklin Gothic Book" w:cs="Franklin Gothic Book"/>
                <w:sz w:val="24"/>
              </w:rPr>
              <w:t xml:space="preserve"> </w:t>
            </w:r>
          </w:p>
        </w:tc>
        <w:tc>
          <w:tcPr>
            <w:tcW w:w="1277" w:type="dxa"/>
            <w:tcBorders>
              <w:top w:val="nil"/>
              <w:left w:val="single" w:sz="4" w:space="0" w:color="000000"/>
              <w:bottom w:val="nil"/>
              <w:right w:val="single" w:sz="4" w:space="0" w:color="000000"/>
            </w:tcBorders>
            <w:shd w:val="clear" w:color="auto" w:fill="FFFFFF"/>
          </w:tcPr>
          <w:p w:rsidR="001C682A" w:rsidRDefault="00B03C38">
            <w:pPr>
              <w:spacing w:after="0" w:line="259" w:lineRule="auto"/>
              <w:ind w:left="35" w:firstLine="0"/>
              <w:jc w:val="center"/>
            </w:pPr>
            <w:r>
              <w:rPr>
                <w:sz w:val="20"/>
              </w:rPr>
              <w:t>10.60</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nil"/>
            </w:tcBorders>
            <w:shd w:val="clear" w:color="auto" w:fill="FFFFFF"/>
          </w:tcPr>
          <w:p w:rsidR="001C682A" w:rsidRDefault="00B03C38">
            <w:pPr>
              <w:spacing w:after="0" w:line="259" w:lineRule="auto"/>
              <w:ind w:left="31" w:firstLine="0"/>
              <w:jc w:val="center"/>
            </w:pPr>
            <w:r>
              <w:rPr>
                <w:sz w:val="20"/>
              </w:rPr>
              <w:t>8.88</w:t>
            </w:r>
            <w:r>
              <w:rPr>
                <w:rFonts w:ascii="Franklin Gothic Book" w:eastAsia="Franklin Gothic Book" w:hAnsi="Franklin Gothic Book" w:cs="Franklin Gothic Book"/>
                <w:sz w:val="24"/>
              </w:rPr>
              <w:t xml:space="preserve"> </w:t>
            </w:r>
          </w:p>
        </w:tc>
      </w:tr>
      <w:tr w:rsidR="001C682A">
        <w:trPr>
          <w:trHeight w:val="427"/>
        </w:trPr>
        <w:tc>
          <w:tcPr>
            <w:tcW w:w="4254" w:type="dxa"/>
            <w:tcBorders>
              <w:top w:val="nil"/>
              <w:left w:val="nil"/>
              <w:bottom w:val="nil"/>
              <w:right w:val="single" w:sz="4" w:space="0" w:color="000000"/>
            </w:tcBorders>
          </w:tcPr>
          <w:p w:rsidR="001C682A" w:rsidRDefault="00B03C38">
            <w:pPr>
              <w:spacing w:after="0" w:line="259" w:lineRule="auto"/>
              <w:ind w:left="0" w:firstLine="0"/>
              <w:jc w:val="left"/>
            </w:pPr>
            <w:r>
              <w:rPr>
                <w:sz w:val="20"/>
              </w:rPr>
              <w:t>Broad Money (M2) (Billion Naira)</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single" w:sz="4" w:space="0" w:color="000000"/>
            </w:tcBorders>
          </w:tcPr>
          <w:p w:rsidR="001C682A" w:rsidRDefault="00B03C38">
            <w:pPr>
              <w:spacing w:after="0" w:line="259" w:lineRule="auto"/>
              <w:ind w:left="33" w:firstLine="0"/>
              <w:jc w:val="center"/>
            </w:pPr>
            <w:r>
              <w:rPr>
                <w:sz w:val="20"/>
              </w:rPr>
              <w:t>32,874.41</w:t>
            </w:r>
            <w:r>
              <w:rPr>
                <w:rFonts w:ascii="Franklin Gothic Book" w:eastAsia="Franklin Gothic Book" w:hAnsi="Franklin Gothic Book" w:cs="Franklin Gothic Book"/>
                <w:sz w:val="24"/>
              </w:rPr>
              <w:t xml:space="preserve"> </w:t>
            </w:r>
          </w:p>
        </w:tc>
        <w:tc>
          <w:tcPr>
            <w:tcW w:w="1277" w:type="dxa"/>
            <w:tcBorders>
              <w:top w:val="nil"/>
              <w:left w:val="single" w:sz="4" w:space="0" w:color="000000"/>
              <w:bottom w:val="nil"/>
              <w:right w:val="single" w:sz="4" w:space="0" w:color="000000"/>
            </w:tcBorders>
          </w:tcPr>
          <w:p w:rsidR="001C682A" w:rsidRDefault="00B03C38">
            <w:pPr>
              <w:spacing w:after="0" w:line="259" w:lineRule="auto"/>
              <w:ind w:left="35" w:firstLine="0"/>
              <w:jc w:val="center"/>
            </w:pPr>
            <w:r>
              <w:rPr>
                <w:sz w:val="20"/>
              </w:rPr>
              <w:t>36,707.57</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nil"/>
            </w:tcBorders>
          </w:tcPr>
          <w:p w:rsidR="001C682A" w:rsidRDefault="00B03C38">
            <w:pPr>
              <w:spacing w:after="0" w:line="259" w:lineRule="auto"/>
              <w:ind w:left="33" w:firstLine="0"/>
              <w:jc w:val="center"/>
            </w:pPr>
            <w:r>
              <w:rPr>
                <w:sz w:val="20"/>
              </w:rPr>
              <w:t>40,047.96</w:t>
            </w:r>
            <w:r>
              <w:rPr>
                <w:rFonts w:ascii="Franklin Gothic Book" w:eastAsia="Franklin Gothic Book" w:hAnsi="Franklin Gothic Book" w:cs="Franklin Gothic Book"/>
                <w:sz w:val="24"/>
              </w:rPr>
              <w:t xml:space="preserve"> </w:t>
            </w:r>
          </w:p>
        </w:tc>
      </w:tr>
      <w:tr w:rsidR="001C682A">
        <w:trPr>
          <w:trHeight w:val="449"/>
        </w:trPr>
        <w:tc>
          <w:tcPr>
            <w:tcW w:w="4254" w:type="dxa"/>
            <w:tcBorders>
              <w:top w:val="nil"/>
              <w:left w:val="nil"/>
              <w:bottom w:val="nil"/>
              <w:right w:val="single" w:sz="4" w:space="0" w:color="000000"/>
            </w:tcBorders>
            <w:shd w:val="clear" w:color="auto" w:fill="FFFFFF"/>
          </w:tcPr>
          <w:p w:rsidR="001C682A" w:rsidRDefault="00B03C38">
            <w:pPr>
              <w:spacing w:after="0" w:line="259" w:lineRule="auto"/>
              <w:ind w:left="0" w:firstLine="0"/>
              <w:jc w:val="left"/>
            </w:pPr>
            <w:r>
              <w:rPr>
                <w:sz w:val="20"/>
              </w:rPr>
              <w:t>M2 Growth Rate</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single" w:sz="4" w:space="0" w:color="000000"/>
            </w:tcBorders>
            <w:shd w:val="clear" w:color="auto" w:fill="FFFFFF"/>
          </w:tcPr>
          <w:p w:rsidR="001C682A" w:rsidRDefault="00B03C38">
            <w:pPr>
              <w:spacing w:after="0" w:line="259" w:lineRule="auto"/>
              <w:ind w:left="34" w:firstLine="0"/>
              <w:jc w:val="center"/>
            </w:pPr>
            <w:r>
              <w:rPr>
                <w:sz w:val="20"/>
              </w:rPr>
              <w:t>14.31</w:t>
            </w:r>
            <w:r>
              <w:rPr>
                <w:rFonts w:ascii="Franklin Gothic Book" w:eastAsia="Franklin Gothic Book" w:hAnsi="Franklin Gothic Book" w:cs="Franklin Gothic Book"/>
                <w:sz w:val="24"/>
              </w:rPr>
              <w:t xml:space="preserve"> </w:t>
            </w:r>
          </w:p>
        </w:tc>
        <w:tc>
          <w:tcPr>
            <w:tcW w:w="1277" w:type="dxa"/>
            <w:tcBorders>
              <w:top w:val="nil"/>
              <w:left w:val="single" w:sz="4" w:space="0" w:color="000000"/>
              <w:bottom w:val="nil"/>
              <w:right w:val="single" w:sz="4" w:space="0" w:color="000000"/>
            </w:tcBorders>
            <w:shd w:val="clear" w:color="auto" w:fill="FFFFFF"/>
          </w:tcPr>
          <w:p w:rsidR="001C682A" w:rsidRDefault="00B03C38">
            <w:pPr>
              <w:spacing w:after="0" w:line="259" w:lineRule="auto"/>
              <w:ind w:left="35" w:firstLine="0"/>
              <w:jc w:val="center"/>
            </w:pPr>
            <w:r>
              <w:rPr>
                <w:sz w:val="20"/>
              </w:rPr>
              <w:t>11.66</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nil"/>
            </w:tcBorders>
            <w:shd w:val="clear" w:color="auto" w:fill="FFFFFF"/>
          </w:tcPr>
          <w:p w:rsidR="001C682A" w:rsidRDefault="00B03C38">
            <w:pPr>
              <w:spacing w:after="0" w:line="259" w:lineRule="auto"/>
              <w:ind w:left="31" w:firstLine="0"/>
              <w:jc w:val="center"/>
            </w:pPr>
            <w:r>
              <w:rPr>
                <w:sz w:val="20"/>
              </w:rPr>
              <w:t>9.01</w:t>
            </w:r>
            <w:r>
              <w:rPr>
                <w:rFonts w:ascii="Franklin Gothic Book" w:eastAsia="Franklin Gothic Book" w:hAnsi="Franklin Gothic Book" w:cs="Franklin Gothic Book"/>
                <w:sz w:val="24"/>
              </w:rPr>
              <w:t xml:space="preserve"> </w:t>
            </w:r>
          </w:p>
        </w:tc>
      </w:tr>
      <w:tr w:rsidR="001C682A">
        <w:trPr>
          <w:trHeight w:val="638"/>
        </w:trPr>
        <w:tc>
          <w:tcPr>
            <w:tcW w:w="4254" w:type="dxa"/>
            <w:tcBorders>
              <w:top w:val="nil"/>
              <w:left w:val="nil"/>
              <w:bottom w:val="nil"/>
              <w:right w:val="single" w:sz="4" w:space="0" w:color="000000"/>
            </w:tcBorders>
            <w:shd w:val="clear" w:color="auto" w:fill="FFFFFF"/>
          </w:tcPr>
          <w:p w:rsidR="001C682A" w:rsidRDefault="00B03C38">
            <w:pPr>
              <w:spacing w:after="0" w:line="259" w:lineRule="auto"/>
              <w:ind w:left="0" w:firstLine="0"/>
              <w:jc w:val="left"/>
            </w:pPr>
            <w:r>
              <w:rPr>
                <w:sz w:val="20"/>
              </w:rPr>
              <w:t>Broader Money (M3) (Billion Naira)</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single" w:sz="4" w:space="0" w:color="000000"/>
            </w:tcBorders>
            <w:shd w:val="clear" w:color="auto" w:fill="FFFFFF"/>
          </w:tcPr>
          <w:p w:rsidR="001C682A" w:rsidRDefault="00B03C38">
            <w:pPr>
              <w:spacing w:after="0" w:line="259" w:lineRule="auto"/>
              <w:ind w:left="33" w:firstLine="0"/>
              <w:jc w:val="center"/>
            </w:pPr>
            <w:r>
              <w:rPr>
                <w:sz w:val="20"/>
              </w:rPr>
              <w:t>38,890.96</w:t>
            </w:r>
            <w:r>
              <w:rPr>
                <w:rFonts w:ascii="Franklin Gothic Book" w:eastAsia="Franklin Gothic Book" w:hAnsi="Franklin Gothic Book" w:cs="Franklin Gothic Book"/>
                <w:sz w:val="24"/>
              </w:rPr>
              <w:t xml:space="preserve"> </w:t>
            </w:r>
          </w:p>
        </w:tc>
        <w:tc>
          <w:tcPr>
            <w:tcW w:w="1277" w:type="dxa"/>
            <w:tcBorders>
              <w:top w:val="nil"/>
              <w:left w:val="single" w:sz="4" w:space="0" w:color="000000"/>
              <w:bottom w:val="nil"/>
              <w:right w:val="single" w:sz="4" w:space="0" w:color="000000"/>
            </w:tcBorders>
            <w:shd w:val="clear" w:color="auto" w:fill="FFFFFF"/>
          </w:tcPr>
          <w:p w:rsidR="001C682A" w:rsidRDefault="00B03C38">
            <w:pPr>
              <w:spacing w:after="0" w:line="259" w:lineRule="auto"/>
              <w:ind w:left="35" w:firstLine="0"/>
              <w:jc w:val="center"/>
            </w:pPr>
            <w:r>
              <w:rPr>
                <w:sz w:val="20"/>
              </w:rPr>
              <w:t>42,647.83</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nil"/>
            </w:tcBorders>
            <w:shd w:val="clear" w:color="auto" w:fill="FFFFFF"/>
          </w:tcPr>
          <w:p w:rsidR="001C682A" w:rsidRDefault="00B03C38">
            <w:pPr>
              <w:spacing w:after="0" w:line="259" w:lineRule="auto"/>
              <w:ind w:left="33" w:firstLine="0"/>
              <w:jc w:val="center"/>
            </w:pPr>
            <w:r>
              <w:rPr>
                <w:sz w:val="20"/>
              </w:rPr>
              <w:t>46,119.36</w:t>
            </w:r>
            <w:r>
              <w:rPr>
                <w:rFonts w:ascii="Franklin Gothic Book" w:eastAsia="Franklin Gothic Book" w:hAnsi="Franklin Gothic Book" w:cs="Franklin Gothic Book"/>
                <w:sz w:val="24"/>
              </w:rPr>
              <w:t xml:space="preserve"> </w:t>
            </w:r>
          </w:p>
        </w:tc>
      </w:tr>
      <w:tr w:rsidR="001C682A">
        <w:trPr>
          <w:trHeight w:val="427"/>
        </w:trPr>
        <w:tc>
          <w:tcPr>
            <w:tcW w:w="4254" w:type="dxa"/>
            <w:tcBorders>
              <w:top w:val="nil"/>
              <w:left w:val="nil"/>
              <w:bottom w:val="nil"/>
              <w:right w:val="single" w:sz="4" w:space="0" w:color="000000"/>
            </w:tcBorders>
          </w:tcPr>
          <w:p w:rsidR="001C682A" w:rsidRDefault="00B03C38">
            <w:pPr>
              <w:spacing w:after="0" w:line="259" w:lineRule="auto"/>
              <w:ind w:left="0" w:firstLine="0"/>
              <w:jc w:val="left"/>
            </w:pPr>
            <w:r>
              <w:rPr>
                <w:sz w:val="20"/>
              </w:rPr>
              <w:t>M3 Growth Rate</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single" w:sz="4" w:space="0" w:color="000000"/>
            </w:tcBorders>
          </w:tcPr>
          <w:p w:rsidR="001C682A" w:rsidRDefault="00B03C38">
            <w:pPr>
              <w:spacing w:after="0" w:line="259" w:lineRule="auto"/>
              <w:ind w:left="34" w:firstLine="0"/>
              <w:jc w:val="center"/>
            </w:pPr>
            <w:r>
              <w:rPr>
                <w:sz w:val="20"/>
              </w:rPr>
              <w:t>11.91</w:t>
            </w:r>
            <w:r>
              <w:rPr>
                <w:rFonts w:ascii="Franklin Gothic Book" w:eastAsia="Franklin Gothic Book" w:hAnsi="Franklin Gothic Book" w:cs="Franklin Gothic Book"/>
                <w:sz w:val="24"/>
              </w:rPr>
              <w:t xml:space="preserve"> </w:t>
            </w:r>
          </w:p>
        </w:tc>
        <w:tc>
          <w:tcPr>
            <w:tcW w:w="1277" w:type="dxa"/>
            <w:tcBorders>
              <w:top w:val="nil"/>
              <w:left w:val="single" w:sz="4" w:space="0" w:color="000000"/>
              <w:bottom w:val="nil"/>
              <w:right w:val="single" w:sz="4" w:space="0" w:color="000000"/>
            </w:tcBorders>
          </w:tcPr>
          <w:p w:rsidR="001C682A" w:rsidRDefault="00B03C38">
            <w:pPr>
              <w:spacing w:after="0" w:line="259" w:lineRule="auto"/>
              <w:ind w:left="33" w:firstLine="0"/>
              <w:jc w:val="center"/>
            </w:pPr>
            <w:r>
              <w:rPr>
                <w:sz w:val="20"/>
              </w:rPr>
              <w:t>9.66</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nil"/>
            </w:tcBorders>
          </w:tcPr>
          <w:p w:rsidR="001C682A" w:rsidRDefault="00B03C38">
            <w:pPr>
              <w:spacing w:after="0" w:line="259" w:lineRule="auto"/>
              <w:ind w:left="31" w:firstLine="0"/>
              <w:jc w:val="center"/>
            </w:pPr>
            <w:r>
              <w:rPr>
                <w:sz w:val="20"/>
              </w:rPr>
              <w:t>8.14</w:t>
            </w:r>
            <w:r>
              <w:rPr>
                <w:rFonts w:ascii="Franklin Gothic Book" w:eastAsia="Franklin Gothic Book" w:hAnsi="Franklin Gothic Book" w:cs="Franklin Gothic Book"/>
                <w:sz w:val="24"/>
              </w:rPr>
              <w:t xml:space="preserve"> </w:t>
            </w:r>
          </w:p>
        </w:tc>
      </w:tr>
      <w:tr w:rsidR="001C682A">
        <w:trPr>
          <w:trHeight w:val="584"/>
        </w:trPr>
        <w:tc>
          <w:tcPr>
            <w:tcW w:w="4254" w:type="dxa"/>
            <w:tcBorders>
              <w:top w:val="nil"/>
              <w:left w:val="nil"/>
              <w:bottom w:val="nil"/>
              <w:right w:val="single" w:sz="4" w:space="0" w:color="000000"/>
            </w:tcBorders>
            <w:shd w:val="clear" w:color="auto" w:fill="FFFFFF"/>
          </w:tcPr>
          <w:p w:rsidR="001C682A" w:rsidRDefault="00B03C38">
            <w:pPr>
              <w:spacing w:after="0" w:line="259" w:lineRule="auto"/>
              <w:ind w:left="0" w:firstLine="0"/>
              <w:jc w:val="left"/>
            </w:pPr>
            <w:r>
              <w:rPr>
                <w:sz w:val="20"/>
              </w:rPr>
              <w:t>Net Foreign Assets (NFA) Billion Naira)</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single" w:sz="4" w:space="0" w:color="000000"/>
            </w:tcBorders>
            <w:shd w:val="clear" w:color="auto" w:fill="FFFFFF"/>
          </w:tcPr>
          <w:p w:rsidR="001C682A" w:rsidRDefault="00B03C38">
            <w:pPr>
              <w:spacing w:after="0" w:line="259" w:lineRule="auto"/>
              <w:ind w:left="31" w:firstLine="0"/>
              <w:jc w:val="center"/>
            </w:pPr>
            <w:r>
              <w:rPr>
                <w:sz w:val="20"/>
              </w:rPr>
              <w:t>4,501.86</w:t>
            </w:r>
            <w:r>
              <w:rPr>
                <w:rFonts w:ascii="Franklin Gothic Book" w:eastAsia="Franklin Gothic Book" w:hAnsi="Franklin Gothic Book" w:cs="Franklin Gothic Book"/>
                <w:sz w:val="24"/>
              </w:rPr>
              <w:t xml:space="preserve"> </w:t>
            </w:r>
          </w:p>
        </w:tc>
        <w:tc>
          <w:tcPr>
            <w:tcW w:w="1277" w:type="dxa"/>
            <w:tcBorders>
              <w:top w:val="nil"/>
              <w:left w:val="single" w:sz="4" w:space="0" w:color="000000"/>
              <w:bottom w:val="nil"/>
              <w:right w:val="single" w:sz="4" w:space="0" w:color="000000"/>
            </w:tcBorders>
            <w:shd w:val="clear" w:color="auto" w:fill="FFFFFF"/>
          </w:tcPr>
          <w:p w:rsidR="001C682A" w:rsidRDefault="00B03C38">
            <w:pPr>
              <w:spacing w:after="0" w:line="259" w:lineRule="auto"/>
              <w:ind w:left="33" w:firstLine="0"/>
              <w:jc w:val="center"/>
            </w:pPr>
            <w:r>
              <w:rPr>
                <w:sz w:val="20"/>
              </w:rPr>
              <w:t>6,041.38</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nil"/>
            </w:tcBorders>
            <w:shd w:val="clear" w:color="auto" w:fill="FFFFFF"/>
          </w:tcPr>
          <w:p w:rsidR="001C682A" w:rsidRDefault="00B03C38">
            <w:pPr>
              <w:spacing w:after="0" w:line="259" w:lineRule="auto"/>
              <w:ind w:left="32" w:firstLine="0"/>
              <w:jc w:val="center"/>
            </w:pPr>
            <w:r>
              <w:rPr>
                <w:sz w:val="20"/>
              </w:rPr>
              <w:t>8,457.93</w:t>
            </w:r>
            <w:r>
              <w:rPr>
                <w:rFonts w:ascii="Franklin Gothic Book" w:eastAsia="Franklin Gothic Book" w:hAnsi="Franklin Gothic Book" w:cs="Franklin Gothic Book"/>
                <w:sz w:val="24"/>
              </w:rPr>
              <w:t xml:space="preserve"> </w:t>
            </w:r>
          </w:p>
        </w:tc>
      </w:tr>
      <w:tr w:rsidR="001C682A">
        <w:trPr>
          <w:trHeight w:val="427"/>
        </w:trPr>
        <w:tc>
          <w:tcPr>
            <w:tcW w:w="4254" w:type="dxa"/>
            <w:tcBorders>
              <w:top w:val="nil"/>
              <w:left w:val="nil"/>
              <w:bottom w:val="nil"/>
              <w:right w:val="single" w:sz="4" w:space="0" w:color="000000"/>
            </w:tcBorders>
          </w:tcPr>
          <w:p w:rsidR="001C682A" w:rsidRDefault="00B03C38">
            <w:pPr>
              <w:spacing w:after="0" w:line="259" w:lineRule="auto"/>
              <w:ind w:left="0" w:firstLine="0"/>
              <w:jc w:val="left"/>
            </w:pPr>
            <w:r>
              <w:rPr>
                <w:sz w:val="20"/>
              </w:rPr>
              <w:t>NFA Growth Rate</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single" w:sz="4" w:space="0" w:color="000000"/>
            </w:tcBorders>
          </w:tcPr>
          <w:p w:rsidR="001C682A" w:rsidRDefault="00B03C38">
            <w:pPr>
              <w:spacing w:after="0" w:line="259" w:lineRule="auto"/>
              <w:ind w:left="31" w:firstLine="0"/>
              <w:jc w:val="center"/>
            </w:pPr>
            <w:r>
              <w:rPr>
                <w:sz w:val="20"/>
              </w:rPr>
              <w:t>2.92</w:t>
            </w:r>
            <w:r>
              <w:rPr>
                <w:rFonts w:ascii="Franklin Gothic Book" w:eastAsia="Franklin Gothic Book" w:hAnsi="Franklin Gothic Book" w:cs="Franklin Gothic Book"/>
                <w:sz w:val="24"/>
              </w:rPr>
              <w:t xml:space="preserve"> </w:t>
            </w:r>
          </w:p>
        </w:tc>
        <w:tc>
          <w:tcPr>
            <w:tcW w:w="1277" w:type="dxa"/>
            <w:tcBorders>
              <w:top w:val="nil"/>
              <w:left w:val="single" w:sz="4" w:space="0" w:color="000000"/>
              <w:bottom w:val="nil"/>
              <w:right w:val="single" w:sz="4" w:space="0" w:color="000000"/>
            </w:tcBorders>
          </w:tcPr>
          <w:p w:rsidR="001C682A" w:rsidRDefault="00B03C38">
            <w:pPr>
              <w:spacing w:after="0" w:line="259" w:lineRule="auto"/>
              <w:ind w:left="35" w:firstLine="0"/>
              <w:jc w:val="center"/>
            </w:pPr>
            <w:r>
              <w:rPr>
                <w:sz w:val="20"/>
              </w:rPr>
              <w:t>34.20</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nil"/>
            </w:tcBorders>
          </w:tcPr>
          <w:p w:rsidR="001C682A" w:rsidRDefault="00B03C38">
            <w:pPr>
              <w:spacing w:after="0" w:line="259" w:lineRule="auto"/>
              <w:ind w:left="34" w:firstLine="0"/>
              <w:jc w:val="center"/>
            </w:pPr>
            <w:r>
              <w:rPr>
                <w:sz w:val="20"/>
              </w:rPr>
              <w:t>40.00</w:t>
            </w:r>
            <w:r>
              <w:rPr>
                <w:rFonts w:ascii="Franklin Gothic Book" w:eastAsia="Franklin Gothic Book" w:hAnsi="Franklin Gothic Book" w:cs="Franklin Gothic Book"/>
                <w:sz w:val="24"/>
              </w:rPr>
              <w:t xml:space="preserve"> </w:t>
            </w:r>
          </w:p>
        </w:tc>
      </w:tr>
      <w:tr w:rsidR="001C682A">
        <w:trPr>
          <w:trHeight w:val="504"/>
        </w:trPr>
        <w:tc>
          <w:tcPr>
            <w:tcW w:w="4254" w:type="dxa"/>
            <w:tcBorders>
              <w:top w:val="nil"/>
              <w:left w:val="nil"/>
              <w:bottom w:val="nil"/>
              <w:right w:val="single" w:sz="4" w:space="0" w:color="000000"/>
            </w:tcBorders>
            <w:shd w:val="clear" w:color="auto" w:fill="FFFFFF"/>
          </w:tcPr>
          <w:p w:rsidR="001C682A" w:rsidRDefault="00B03C38">
            <w:pPr>
              <w:spacing w:after="0" w:line="259" w:lineRule="auto"/>
              <w:ind w:left="0" w:firstLine="0"/>
              <w:jc w:val="left"/>
            </w:pPr>
            <w:r>
              <w:rPr>
                <w:sz w:val="20"/>
              </w:rPr>
              <w:t>Net Domestic Credit (NDC) (Billion Naira)</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single" w:sz="4" w:space="0" w:color="000000"/>
            </w:tcBorders>
            <w:shd w:val="clear" w:color="auto" w:fill="FFFFFF"/>
          </w:tcPr>
          <w:p w:rsidR="001C682A" w:rsidRDefault="00B03C38">
            <w:pPr>
              <w:spacing w:after="0" w:line="259" w:lineRule="auto"/>
              <w:ind w:left="33" w:firstLine="0"/>
              <w:jc w:val="center"/>
            </w:pPr>
            <w:r>
              <w:rPr>
                <w:sz w:val="20"/>
              </w:rPr>
              <w:t>46,478.18</w:t>
            </w:r>
            <w:r>
              <w:rPr>
                <w:rFonts w:ascii="Franklin Gothic Book" w:eastAsia="Franklin Gothic Book" w:hAnsi="Franklin Gothic Book" w:cs="Franklin Gothic Book"/>
                <w:sz w:val="24"/>
              </w:rPr>
              <w:t xml:space="preserve"> </w:t>
            </w:r>
          </w:p>
        </w:tc>
        <w:tc>
          <w:tcPr>
            <w:tcW w:w="1277" w:type="dxa"/>
            <w:vMerge w:val="restart"/>
            <w:tcBorders>
              <w:top w:val="nil"/>
              <w:left w:val="single" w:sz="4" w:space="0" w:color="000000"/>
              <w:bottom w:val="nil"/>
              <w:right w:val="single" w:sz="4" w:space="0" w:color="000000"/>
            </w:tcBorders>
            <w:shd w:val="clear" w:color="auto" w:fill="FFFFFF"/>
          </w:tcPr>
          <w:p w:rsidR="001C682A" w:rsidRDefault="00B03C38">
            <w:pPr>
              <w:spacing w:after="221" w:line="259" w:lineRule="auto"/>
              <w:ind w:left="35" w:firstLine="0"/>
              <w:jc w:val="center"/>
            </w:pPr>
            <w:r>
              <w:rPr>
                <w:sz w:val="20"/>
              </w:rPr>
              <w:t>51,995.50</w:t>
            </w:r>
            <w:r>
              <w:rPr>
                <w:rFonts w:ascii="Franklin Gothic Book" w:eastAsia="Franklin Gothic Book" w:hAnsi="Franklin Gothic Book" w:cs="Franklin Gothic Book"/>
                <w:sz w:val="24"/>
              </w:rPr>
              <w:t xml:space="preserve"> </w:t>
            </w:r>
          </w:p>
          <w:p w:rsidR="001C682A" w:rsidRDefault="00B03C38">
            <w:pPr>
              <w:spacing w:after="0" w:line="259" w:lineRule="auto"/>
              <w:ind w:left="35" w:firstLine="0"/>
              <w:jc w:val="center"/>
            </w:pPr>
            <w:r>
              <w:rPr>
                <w:sz w:val="20"/>
              </w:rPr>
              <w:t>22.98</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nil"/>
            </w:tcBorders>
            <w:shd w:val="clear" w:color="auto" w:fill="FFFFFF"/>
          </w:tcPr>
          <w:p w:rsidR="001C682A" w:rsidRDefault="00B03C38">
            <w:pPr>
              <w:spacing w:after="0" w:line="259" w:lineRule="auto"/>
              <w:ind w:left="33" w:firstLine="0"/>
              <w:jc w:val="center"/>
            </w:pPr>
            <w:r>
              <w:rPr>
                <w:sz w:val="20"/>
              </w:rPr>
              <w:t>60,314.78</w:t>
            </w:r>
            <w:r>
              <w:rPr>
                <w:rFonts w:ascii="Franklin Gothic Book" w:eastAsia="Franklin Gothic Book" w:hAnsi="Franklin Gothic Book" w:cs="Franklin Gothic Book"/>
                <w:sz w:val="24"/>
              </w:rPr>
              <w:t xml:space="preserve"> </w:t>
            </w:r>
          </w:p>
        </w:tc>
      </w:tr>
      <w:tr w:rsidR="001C682A">
        <w:trPr>
          <w:trHeight w:val="79"/>
        </w:trPr>
        <w:tc>
          <w:tcPr>
            <w:tcW w:w="4254" w:type="dxa"/>
            <w:tcBorders>
              <w:top w:val="nil"/>
              <w:left w:val="nil"/>
              <w:bottom w:val="nil"/>
              <w:right w:val="single" w:sz="4" w:space="0" w:color="000000"/>
            </w:tcBorders>
            <w:shd w:val="clear" w:color="auto" w:fill="FFFFFF"/>
          </w:tcPr>
          <w:p w:rsidR="001C682A" w:rsidRDefault="001C682A">
            <w:pPr>
              <w:spacing w:after="160" w:line="259" w:lineRule="auto"/>
              <w:ind w:left="0" w:firstLine="0"/>
              <w:jc w:val="left"/>
            </w:pPr>
          </w:p>
        </w:tc>
        <w:tc>
          <w:tcPr>
            <w:tcW w:w="1274" w:type="dxa"/>
            <w:tcBorders>
              <w:top w:val="nil"/>
              <w:left w:val="single" w:sz="4" w:space="0" w:color="000000"/>
              <w:bottom w:val="nil"/>
              <w:right w:val="single" w:sz="4" w:space="0" w:color="000000"/>
            </w:tcBorders>
            <w:shd w:val="clear" w:color="auto" w:fill="FFFFFF"/>
          </w:tcPr>
          <w:p w:rsidR="001C682A" w:rsidRDefault="001C682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C682A" w:rsidRDefault="001C682A">
            <w:pPr>
              <w:spacing w:after="160" w:line="259" w:lineRule="auto"/>
              <w:ind w:left="0" w:firstLine="0"/>
              <w:jc w:val="left"/>
            </w:pPr>
          </w:p>
        </w:tc>
        <w:tc>
          <w:tcPr>
            <w:tcW w:w="1274" w:type="dxa"/>
            <w:tcBorders>
              <w:top w:val="nil"/>
              <w:left w:val="single" w:sz="4" w:space="0" w:color="000000"/>
              <w:bottom w:val="nil"/>
              <w:right w:val="nil"/>
            </w:tcBorders>
            <w:shd w:val="clear" w:color="auto" w:fill="FFFFFF"/>
          </w:tcPr>
          <w:p w:rsidR="001C682A" w:rsidRDefault="001C682A">
            <w:pPr>
              <w:spacing w:after="160" w:line="259" w:lineRule="auto"/>
              <w:ind w:left="0" w:firstLine="0"/>
              <w:jc w:val="left"/>
            </w:pPr>
          </w:p>
        </w:tc>
      </w:tr>
      <w:tr w:rsidR="001C682A">
        <w:trPr>
          <w:trHeight w:val="504"/>
        </w:trPr>
        <w:tc>
          <w:tcPr>
            <w:tcW w:w="4254" w:type="dxa"/>
            <w:tcBorders>
              <w:top w:val="nil"/>
              <w:left w:val="nil"/>
              <w:bottom w:val="nil"/>
              <w:right w:val="single" w:sz="4" w:space="0" w:color="000000"/>
            </w:tcBorders>
            <w:shd w:val="clear" w:color="auto" w:fill="FFFFFF"/>
          </w:tcPr>
          <w:p w:rsidR="001C682A" w:rsidRDefault="00B03C38">
            <w:pPr>
              <w:spacing w:after="0" w:line="259" w:lineRule="auto"/>
              <w:ind w:left="0" w:firstLine="0"/>
              <w:jc w:val="left"/>
            </w:pPr>
            <w:r>
              <w:rPr>
                <w:sz w:val="20"/>
              </w:rPr>
              <w:t>NDC Growth Rate</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single" w:sz="4" w:space="0" w:color="000000"/>
            </w:tcBorders>
            <w:shd w:val="clear" w:color="auto" w:fill="FFFFFF"/>
          </w:tcPr>
          <w:p w:rsidR="001C682A" w:rsidRDefault="00B03C38">
            <w:pPr>
              <w:spacing w:after="0" w:line="259" w:lineRule="auto"/>
              <w:ind w:left="31" w:firstLine="0"/>
              <w:jc w:val="center"/>
            </w:pPr>
            <w:r>
              <w:rPr>
                <w:sz w:val="20"/>
              </w:rPr>
              <w:t>9.93</w:t>
            </w:r>
            <w:r>
              <w:rPr>
                <w:rFonts w:ascii="Franklin Gothic Book" w:eastAsia="Franklin Gothic Book" w:hAnsi="Franklin Gothic Book" w:cs="Franklin Gothic Book"/>
                <w:sz w:val="24"/>
              </w:rPr>
              <w:t xml:space="preserve"> </w:t>
            </w:r>
          </w:p>
        </w:tc>
        <w:tc>
          <w:tcPr>
            <w:tcW w:w="0" w:type="auto"/>
            <w:vMerge/>
            <w:tcBorders>
              <w:top w:val="nil"/>
              <w:left w:val="single" w:sz="4" w:space="0" w:color="000000"/>
              <w:bottom w:val="nil"/>
              <w:right w:val="single" w:sz="4" w:space="0" w:color="000000"/>
            </w:tcBorders>
          </w:tcPr>
          <w:p w:rsidR="001C682A" w:rsidRDefault="001C682A">
            <w:pPr>
              <w:spacing w:after="160" w:line="259" w:lineRule="auto"/>
              <w:ind w:left="0" w:firstLine="0"/>
              <w:jc w:val="left"/>
            </w:pPr>
          </w:p>
        </w:tc>
        <w:tc>
          <w:tcPr>
            <w:tcW w:w="1274" w:type="dxa"/>
            <w:tcBorders>
              <w:top w:val="nil"/>
              <w:left w:val="single" w:sz="4" w:space="0" w:color="000000"/>
              <w:bottom w:val="nil"/>
              <w:right w:val="nil"/>
            </w:tcBorders>
            <w:shd w:val="clear" w:color="auto" w:fill="FFFFFF"/>
          </w:tcPr>
          <w:p w:rsidR="001C682A" w:rsidRDefault="00B03C38">
            <w:pPr>
              <w:spacing w:after="0" w:line="259" w:lineRule="auto"/>
              <w:ind w:left="34" w:firstLine="0"/>
              <w:jc w:val="center"/>
            </w:pPr>
            <w:r>
              <w:rPr>
                <w:sz w:val="20"/>
              </w:rPr>
              <w:t>16.00</w:t>
            </w:r>
            <w:r>
              <w:rPr>
                <w:rFonts w:ascii="Franklin Gothic Book" w:eastAsia="Franklin Gothic Book" w:hAnsi="Franklin Gothic Book" w:cs="Franklin Gothic Book"/>
                <w:sz w:val="24"/>
              </w:rPr>
              <w:t xml:space="preserve"> </w:t>
            </w:r>
          </w:p>
        </w:tc>
      </w:tr>
      <w:tr w:rsidR="001C682A">
        <w:trPr>
          <w:trHeight w:val="427"/>
        </w:trPr>
        <w:tc>
          <w:tcPr>
            <w:tcW w:w="4254" w:type="dxa"/>
            <w:tcBorders>
              <w:top w:val="nil"/>
              <w:left w:val="nil"/>
              <w:bottom w:val="nil"/>
              <w:right w:val="single" w:sz="4" w:space="0" w:color="000000"/>
            </w:tcBorders>
          </w:tcPr>
          <w:p w:rsidR="001C682A" w:rsidRDefault="00B03C38">
            <w:pPr>
              <w:spacing w:after="0" w:line="259" w:lineRule="auto"/>
              <w:ind w:left="0" w:firstLine="0"/>
              <w:jc w:val="left"/>
            </w:pPr>
            <w:r>
              <w:rPr>
                <w:sz w:val="20"/>
              </w:rPr>
              <w:t>Net Government Credit (NGC</w:t>
            </w:r>
            <w:proofErr w:type="gramStart"/>
            <w:r>
              <w:rPr>
                <w:sz w:val="20"/>
              </w:rPr>
              <w:t>)(</w:t>
            </w:r>
            <w:proofErr w:type="gramEnd"/>
            <w:r>
              <w:rPr>
                <w:sz w:val="20"/>
              </w:rPr>
              <w:t>Billion Naira)</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single" w:sz="4" w:space="0" w:color="000000"/>
            </w:tcBorders>
          </w:tcPr>
          <w:p w:rsidR="001C682A" w:rsidRDefault="00B03C38">
            <w:pPr>
              <w:spacing w:after="0" w:line="259" w:lineRule="auto"/>
              <w:ind w:left="33" w:firstLine="0"/>
              <w:jc w:val="center"/>
            </w:pPr>
            <w:r>
              <w:rPr>
                <w:sz w:val="20"/>
              </w:rPr>
              <w:t>13,137.80</w:t>
            </w:r>
            <w:r>
              <w:rPr>
                <w:rFonts w:ascii="Franklin Gothic Book" w:eastAsia="Franklin Gothic Book" w:hAnsi="Franklin Gothic Book" w:cs="Franklin Gothic Book"/>
                <w:sz w:val="24"/>
              </w:rPr>
              <w:t xml:space="preserve"> </w:t>
            </w:r>
          </w:p>
        </w:tc>
        <w:tc>
          <w:tcPr>
            <w:tcW w:w="1277" w:type="dxa"/>
            <w:tcBorders>
              <w:top w:val="nil"/>
              <w:left w:val="single" w:sz="4" w:space="0" w:color="000000"/>
              <w:bottom w:val="nil"/>
              <w:right w:val="single" w:sz="4" w:space="0" w:color="000000"/>
            </w:tcBorders>
          </w:tcPr>
          <w:p w:rsidR="001C682A" w:rsidRDefault="00B03C38">
            <w:pPr>
              <w:spacing w:after="0" w:line="259" w:lineRule="auto"/>
              <w:ind w:left="35" w:firstLine="0"/>
              <w:jc w:val="center"/>
            </w:pPr>
            <w:r>
              <w:rPr>
                <w:sz w:val="20"/>
              </w:rPr>
              <w:t>16,256.36</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nil"/>
            </w:tcBorders>
          </w:tcPr>
          <w:p w:rsidR="001C682A" w:rsidRDefault="00B03C38">
            <w:pPr>
              <w:spacing w:after="0" w:line="259" w:lineRule="auto"/>
              <w:ind w:left="33" w:firstLine="0"/>
              <w:jc w:val="center"/>
            </w:pPr>
            <w:r>
              <w:rPr>
                <w:sz w:val="20"/>
              </w:rPr>
              <w:t>20,320.45</w:t>
            </w:r>
            <w:r>
              <w:rPr>
                <w:rFonts w:ascii="Franklin Gothic Book" w:eastAsia="Franklin Gothic Book" w:hAnsi="Franklin Gothic Book" w:cs="Franklin Gothic Book"/>
                <w:sz w:val="24"/>
              </w:rPr>
              <w:t xml:space="preserve"> </w:t>
            </w:r>
          </w:p>
        </w:tc>
      </w:tr>
      <w:tr w:rsidR="001C682A">
        <w:trPr>
          <w:trHeight w:val="583"/>
        </w:trPr>
        <w:tc>
          <w:tcPr>
            <w:tcW w:w="4254" w:type="dxa"/>
            <w:tcBorders>
              <w:top w:val="nil"/>
              <w:left w:val="nil"/>
              <w:bottom w:val="nil"/>
              <w:right w:val="single" w:sz="4" w:space="0" w:color="000000"/>
            </w:tcBorders>
            <w:shd w:val="clear" w:color="auto" w:fill="FFFFFF"/>
          </w:tcPr>
          <w:p w:rsidR="001C682A" w:rsidRDefault="00B03C38">
            <w:pPr>
              <w:spacing w:after="0" w:line="259" w:lineRule="auto"/>
              <w:ind w:left="0" w:firstLine="0"/>
              <w:jc w:val="left"/>
            </w:pPr>
            <w:r>
              <w:rPr>
                <w:sz w:val="20"/>
              </w:rPr>
              <w:t>NGC Growth Rate</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single" w:sz="4" w:space="0" w:color="000000"/>
            </w:tcBorders>
            <w:shd w:val="clear" w:color="auto" w:fill="FFFFFF"/>
          </w:tcPr>
          <w:p w:rsidR="001C682A" w:rsidRDefault="00B03C38">
            <w:pPr>
              <w:spacing w:after="0" w:line="259" w:lineRule="auto"/>
              <w:ind w:left="34" w:firstLine="0"/>
              <w:jc w:val="center"/>
            </w:pPr>
            <w:r>
              <w:rPr>
                <w:sz w:val="20"/>
              </w:rPr>
              <w:t>13.36</w:t>
            </w:r>
            <w:r>
              <w:rPr>
                <w:rFonts w:ascii="Franklin Gothic Book" w:eastAsia="Franklin Gothic Book" w:hAnsi="Franklin Gothic Book" w:cs="Franklin Gothic Book"/>
                <w:sz w:val="24"/>
              </w:rPr>
              <w:t xml:space="preserve"> </w:t>
            </w:r>
          </w:p>
        </w:tc>
        <w:tc>
          <w:tcPr>
            <w:tcW w:w="1277" w:type="dxa"/>
            <w:tcBorders>
              <w:top w:val="nil"/>
              <w:left w:val="single" w:sz="4" w:space="0" w:color="000000"/>
              <w:bottom w:val="nil"/>
              <w:right w:val="single" w:sz="4" w:space="0" w:color="000000"/>
            </w:tcBorders>
            <w:shd w:val="clear" w:color="auto" w:fill="FFFFFF"/>
          </w:tcPr>
          <w:p w:rsidR="001C682A" w:rsidRDefault="00B03C38">
            <w:pPr>
              <w:spacing w:after="0" w:line="259" w:lineRule="auto"/>
              <w:ind w:left="35" w:firstLine="0"/>
              <w:jc w:val="center"/>
            </w:pPr>
            <w:r>
              <w:rPr>
                <w:sz w:val="20"/>
              </w:rPr>
              <w:t>40.27</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nil"/>
            </w:tcBorders>
            <w:shd w:val="clear" w:color="auto" w:fill="FFFFFF"/>
          </w:tcPr>
          <w:p w:rsidR="001C682A" w:rsidRDefault="00B03C38">
            <w:pPr>
              <w:spacing w:after="0" w:line="259" w:lineRule="auto"/>
              <w:ind w:left="34" w:firstLine="0"/>
              <w:jc w:val="center"/>
            </w:pPr>
            <w:r>
              <w:rPr>
                <w:sz w:val="20"/>
              </w:rPr>
              <w:t>25.00</w:t>
            </w:r>
            <w:r>
              <w:rPr>
                <w:rFonts w:ascii="Franklin Gothic Book" w:eastAsia="Franklin Gothic Book" w:hAnsi="Franklin Gothic Book" w:cs="Franklin Gothic Book"/>
                <w:sz w:val="24"/>
              </w:rPr>
              <w:t xml:space="preserve"> </w:t>
            </w:r>
          </w:p>
        </w:tc>
      </w:tr>
      <w:tr w:rsidR="001C682A">
        <w:trPr>
          <w:trHeight w:val="467"/>
        </w:trPr>
        <w:tc>
          <w:tcPr>
            <w:tcW w:w="4254" w:type="dxa"/>
            <w:tcBorders>
              <w:top w:val="nil"/>
              <w:left w:val="nil"/>
              <w:bottom w:val="single" w:sz="32" w:space="0" w:color="FFFFFF"/>
              <w:right w:val="single" w:sz="4" w:space="0" w:color="000000"/>
            </w:tcBorders>
          </w:tcPr>
          <w:p w:rsidR="001C682A" w:rsidRDefault="00B03C38">
            <w:pPr>
              <w:spacing w:after="0" w:line="259" w:lineRule="auto"/>
              <w:ind w:left="0" w:firstLine="0"/>
              <w:jc w:val="left"/>
            </w:pPr>
            <w:r>
              <w:rPr>
                <w:sz w:val="20"/>
              </w:rPr>
              <w:t>Private Sector (</w:t>
            </w:r>
            <w:proofErr w:type="spellStart"/>
            <w:r>
              <w:rPr>
                <w:sz w:val="20"/>
              </w:rPr>
              <w:t>DCp</w:t>
            </w:r>
            <w:proofErr w:type="spellEnd"/>
            <w:r>
              <w:rPr>
                <w:sz w:val="20"/>
              </w:rPr>
              <w:t>) (Billion Naira)</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single" w:sz="32" w:space="0" w:color="FFFFFF"/>
              <w:right w:val="single" w:sz="4" w:space="0" w:color="000000"/>
            </w:tcBorders>
          </w:tcPr>
          <w:p w:rsidR="001C682A" w:rsidRDefault="00B03C38">
            <w:pPr>
              <w:spacing w:after="0" w:line="259" w:lineRule="auto"/>
              <w:ind w:left="33" w:firstLine="0"/>
              <w:jc w:val="center"/>
            </w:pPr>
            <w:r>
              <w:rPr>
                <w:sz w:val="20"/>
              </w:rPr>
              <w:t>33,340.38</w:t>
            </w:r>
            <w:r>
              <w:rPr>
                <w:rFonts w:ascii="Franklin Gothic Book" w:eastAsia="Franklin Gothic Book" w:hAnsi="Franklin Gothic Book" w:cs="Franklin Gothic Book"/>
                <w:sz w:val="24"/>
              </w:rPr>
              <w:t xml:space="preserve"> </w:t>
            </w:r>
          </w:p>
        </w:tc>
        <w:tc>
          <w:tcPr>
            <w:tcW w:w="1277" w:type="dxa"/>
            <w:tcBorders>
              <w:top w:val="nil"/>
              <w:left w:val="single" w:sz="4" w:space="0" w:color="000000"/>
              <w:bottom w:val="single" w:sz="32" w:space="0" w:color="FFFFFF"/>
              <w:right w:val="single" w:sz="4" w:space="0" w:color="000000"/>
            </w:tcBorders>
          </w:tcPr>
          <w:p w:rsidR="001C682A" w:rsidRDefault="00B03C38">
            <w:pPr>
              <w:spacing w:after="0" w:line="259" w:lineRule="auto"/>
              <w:ind w:left="35" w:firstLine="0"/>
              <w:jc w:val="center"/>
            </w:pPr>
            <w:r>
              <w:rPr>
                <w:sz w:val="20"/>
              </w:rPr>
              <w:t>35,739.14</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single" w:sz="32" w:space="0" w:color="FFFFFF"/>
              <w:right w:val="nil"/>
            </w:tcBorders>
          </w:tcPr>
          <w:p w:rsidR="001C682A" w:rsidRDefault="00B03C38">
            <w:pPr>
              <w:spacing w:after="0" w:line="259" w:lineRule="auto"/>
              <w:ind w:left="33" w:firstLine="0"/>
              <w:jc w:val="center"/>
            </w:pPr>
            <w:r>
              <w:rPr>
                <w:sz w:val="20"/>
              </w:rPr>
              <w:t>40,385.22</w:t>
            </w:r>
            <w:r>
              <w:rPr>
                <w:rFonts w:ascii="Franklin Gothic Book" w:eastAsia="Franklin Gothic Book" w:hAnsi="Franklin Gothic Book" w:cs="Franklin Gothic Book"/>
                <w:sz w:val="24"/>
              </w:rPr>
              <w:t xml:space="preserve"> </w:t>
            </w:r>
          </w:p>
        </w:tc>
      </w:tr>
      <w:tr w:rsidR="001C682A">
        <w:trPr>
          <w:trHeight w:val="465"/>
        </w:trPr>
        <w:tc>
          <w:tcPr>
            <w:tcW w:w="4254" w:type="dxa"/>
            <w:tcBorders>
              <w:top w:val="single" w:sz="32" w:space="0" w:color="FFFFFF"/>
              <w:left w:val="nil"/>
              <w:bottom w:val="nil"/>
              <w:right w:val="single" w:sz="4" w:space="0" w:color="000000"/>
            </w:tcBorders>
          </w:tcPr>
          <w:p w:rsidR="001C682A" w:rsidRDefault="00B03C38">
            <w:pPr>
              <w:spacing w:after="0" w:line="259" w:lineRule="auto"/>
              <w:ind w:left="0" w:firstLine="0"/>
              <w:jc w:val="left"/>
            </w:pPr>
            <w:proofErr w:type="spellStart"/>
            <w:r>
              <w:rPr>
                <w:sz w:val="20"/>
              </w:rPr>
              <w:t>DCp</w:t>
            </w:r>
            <w:proofErr w:type="spellEnd"/>
            <w:r>
              <w:rPr>
                <w:sz w:val="20"/>
              </w:rPr>
              <w:t xml:space="preserve"> Growth Rate</w:t>
            </w:r>
            <w:r>
              <w:rPr>
                <w:rFonts w:ascii="Franklin Gothic Book" w:eastAsia="Franklin Gothic Book" w:hAnsi="Franklin Gothic Book" w:cs="Franklin Gothic Book"/>
                <w:sz w:val="24"/>
              </w:rPr>
              <w:t xml:space="preserve"> </w:t>
            </w:r>
          </w:p>
        </w:tc>
        <w:tc>
          <w:tcPr>
            <w:tcW w:w="1274" w:type="dxa"/>
            <w:tcBorders>
              <w:top w:val="single" w:sz="32" w:space="0" w:color="FFFFFF"/>
              <w:left w:val="single" w:sz="4" w:space="0" w:color="000000"/>
              <w:bottom w:val="nil"/>
              <w:right w:val="single" w:sz="4" w:space="0" w:color="000000"/>
            </w:tcBorders>
          </w:tcPr>
          <w:p w:rsidR="001C682A" w:rsidRDefault="00B03C38">
            <w:pPr>
              <w:spacing w:after="0" w:line="259" w:lineRule="auto"/>
              <w:ind w:left="31" w:firstLine="0"/>
              <w:jc w:val="center"/>
            </w:pPr>
            <w:r>
              <w:rPr>
                <w:sz w:val="20"/>
              </w:rPr>
              <w:t>8.64</w:t>
            </w:r>
            <w:r>
              <w:rPr>
                <w:rFonts w:ascii="Franklin Gothic Book" w:eastAsia="Franklin Gothic Book" w:hAnsi="Franklin Gothic Book" w:cs="Franklin Gothic Book"/>
                <w:sz w:val="24"/>
              </w:rPr>
              <w:t xml:space="preserve"> </w:t>
            </w:r>
          </w:p>
        </w:tc>
        <w:tc>
          <w:tcPr>
            <w:tcW w:w="1277" w:type="dxa"/>
            <w:tcBorders>
              <w:top w:val="single" w:sz="32" w:space="0" w:color="FFFFFF"/>
              <w:left w:val="single" w:sz="4" w:space="0" w:color="000000"/>
              <w:bottom w:val="nil"/>
              <w:right w:val="single" w:sz="4" w:space="0" w:color="000000"/>
            </w:tcBorders>
          </w:tcPr>
          <w:p w:rsidR="001C682A" w:rsidRDefault="00B03C38">
            <w:pPr>
              <w:spacing w:after="0" w:line="259" w:lineRule="auto"/>
              <w:ind w:left="35" w:firstLine="0"/>
              <w:jc w:val="center"/>
            </w:pPr>
            <w:r>
              <w:rPr>
                <w:sz w:val="20"/>
              </w:rPr>
              <w:t>16.45</w:t>
            </w:r>
            <w:r>
              <w:rPr>
                <w:rFonts w:ascii="Franklin Gothic Book" w:eastAsia="Franklin Gothic Book" w:hAnsi="Franklin Gothic Book" w:cs="Franklin Gothic Book"/>
                <w:sz w:val="24"/>
              </w:rPr>
              <w:t xml:space="preserve"> </w:t>
            </w:r>
          </w:p>
        </w:tc>
        <w:tc>
          <w:tcPr>
            <w:tcW w:w="1274" w:type="dxa"/>
            <w:tcBorders>
              <w:top w:val="single" w:sz="32" w:space="0" w:color="FFFFFF"/>
              <w:left w:val="single" w:sz="4" w:space="0" w:color="000000"/>
              <w:bottom w:val="nil"/>
              <w:right w:val="nil"/>
            </w:tcBorders>
          </w:tcPr>
          <w:p w:rsidR="001C682A" w:rsidRDefault="00B03C38">
            <w:pPr>
              <w:spacing w:after="0" w:line="259" w:lineRule="auto"/>
              <w:ind w:left="34" w:firstLine="0"/>
              <w:jc w:val="center"/>
            </w:pPr>
            <w:r>
              <w:rPr>
                <w:sz w:val="20"/>
              </w:rPr>
              <w:t>13.00</w:t>
            </w:r>
            <w:r>
              <w:rPr>
                <w:rFonts w:ascii="Franklin Gothic Book" w:eastAsia="Franklin Gothic Book" w:hAnsi="Franklin Gothic Book" w:cs="Franklin Gothic Book"/>
                <w:sz w:val="24"/>
              </w:rPr>
              <w:t xml:space="preserve"> </w:t>
            </w:r>
          </w:p>
        </w:tc>
      </w:tr>
      <w:tr w:rsidR="001C682A">
        <w:trPr>
          <w:trHeight w:val="505"/>
        </w:trPr>
        <w:tc>
          <w:tcPr>
            <w:tcW w:w="4254" w:type="dxa"/>
            <w:tcBorders>
              <w:top w:val="nil"/>
              <w:left w:val="nil"/>
              <w:bottom w:val="nil"/>
              <w:right w:val="single" w:sz="4" w:space="0" w:color="000000"/>
            </w:tcBorders>
            <w:shd w:val="clear" w:color="auto" w:fill="FFFFFF"/>
          </w:tcPr>
          <w:p w:rsidR="001C682A" w:rsidRDefault="00B03C38">
            <w:pPr>
              <w:spacing w:after="0" w:line="259" w:lineRule="auto"/>
              <w:ind w:left="0" w:firstLine="0"/>
              <w:jc w:val="left"/>
            </w:pPr>
            <w:r>
              <w:rPr>
                <w:sz w:val="20"/>
              </w:rPr>
              <w:t>External Reserves (US$ billion)</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single" w:sz="4" w:space="0" w:color="000000"/>
            </w:tcBorders>
            <w:shd w:val="clear" w:color="auto" w:fill="FFFFFF"/>
          </w:tcPr>
          <w:p w:rsidR="001C682A" w:rsidRDefault="00B03C38">
            <w:pPr>
              <w:spacing w:after="0" w:line="259" w:lineRule="auto"/>
              <w:ind w:left="34" w:firstLine="0"/>
              <w:jc w:val="center"/>
            </w:pPr>
            <w:r>
              <w:rPr>
                <w:sz w:val="20"/>
              </w:rPr>
              <w:t>35.11</w:t>
            </w:r>
            <w:r>
              <w:rPr>
                <w:rFonts w:ascii="Franklin Gothic Book" w:eastAsia="Franklin Gothic Book" w:hAnsi="Franklin Gothic Book" w:cs="Franklin Gothic Book"/>
                <w:sz w:val="24"/>
              </w:rPr>
              <w:t xml:space="preserve"> </w:t>
            </w:r>
          </w:p>
        </w:tc>
        <w:tc>
          <w:tcPr>
            <w:tcW w:w="1277" w:type="dxa"/>
            <w:tcBorders>
              <w:top w:val="nil"/>
              <w:left w:val="single" w:sz="4" w:space="0" w:color="000000"/>
              <w:bottom w:val="nil"/>
              <w:right w:val="single" w:sz="4" w:space="0" w:color="000000"/>
            </w:tcBorders>
            <w:shd w:val="clear" w:color="auto" w:fill="FFFFFF"/>
          </w:tcPr>
          <w:p w:rsidR="001C682A" w:rsidRDefault="00B03C38">
            <w:pPr>
              <w:spacing w:after="0" w:line="259" w:lineRule="auto"/>
              <w:ind w:left="35" w:firstLine="0"/>
              <w:jc w:val="center"/>
            </w:pPr>
            <w:r>
              <w:rPr>
                <w:sz w:val="20"/>
              </w:rPr>
              <w:t>36.72</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nil"/>
            </w:tcBorders>
            <w:shd w:val="clear" w:color="auto" w:fill="FFFFFF"/>
          </w:tcPr>
          <w:p w:rsidR="001C682A" w:rsidRDefault="00B03C38">
            <w:pPr>
              <w:spacing w:after="0" w:line="259" w:lineRule="auto"/>
              <w:ind w:left="34" w:firstLine="0"/>
              <w:jc w:val="center"/>
            </w:pPr>
            <w:r>
              <w:rPr>
                <w:sz w:val="20"/>
              </w:rPr>
              <w:t>38.67</w:t>
            </w:r>
            <w:r>
              <w:rPr>
                <w:rFonts w:ascii="Franklin Gothic Book" w:eastAsia="Franklin Gothic Book" w:hAnsi="Franklin Gothic Book" w:cs="Franklin Gothic Book"/>
                <w:sz w:val="24"/>
              </w:rPr>
              <w:t xml:space="preserve"> </w:t>
            </w:r>
          </w:p>
        </w:tc>
      </w:tr>
      <w:tr w:rsidR="001C682A">
        <w:trPr>
          <w:trHeight w:val="450"/>
        </w:trPr>
        <w:tc>
          <w:tcPr>
            <w:tcW w:w="4254" w:type="dxa"/>
            <w:tcBorders>
              <w:top w:val="nil"/>
              <w:left w:val="nil"/>
              <w:bottom w:val="nil"/>
              <w:right w:val="single" w:sz="4" w:space="0" w:color="000000"/>
            </w:tcBorders>
            <w:shd w:val="clear" w:color="auto" w:fill="FFFFFF"/>
          </w:tcPr>
          <w:p w:rsidR="001C682A" w:rsidRDefault="00B03C38">
            <w:pPr>
              <w:spacing w:after="0" w:line="259" w:lineRule="auto"/>
              <w:ind w:left="0" w:firstLine="0"/>
              <w:jc w:val="left"/>
            </w:pPr>
            <w:r>
              <w:rPr>
                <w:sz w:val="20"/>
              </w:rPr>
              <w:t>External Reserves Growth Rate</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single" w:sz="4" w:space="0" w:color="000000"/>
            </w:tcBorders>
            <w:shd w:val="clear" w:color="auto" w:fill="FFFFFF"/>
          </w:tcPr>
          <w:p w:rsidR="001C682A" w:rsidRDefault="00B03C38">
            <w:pPr>
              <w:spacing w:after="0" w:line="259" w:lineRule="auto"/>
              <w:ind w:left="31" w:firstLine="0"/>
              <w:jc w:val="center"/>
            </w:pPr>
            <w:r>
              <w:rPr>
                <w:sz w:val="20"/>
              </w:rPr>
              <w:t>2.30</w:t>
            </w:r>
            <w:r>
              <w:rPr>
                <w:rFonts w:ascii="Franklin Gothic Book" w:eastAsia="Franklin Gothic Book" w:hAnsi="Franklin Gothic Book" w:cs="Franklin Gothic Book"/>
                <w:sz w:val="24"/>
              </w:rPr>
              <w:t xml:space="preserve"> </w:t>
            </w:r>
          </w:p>
        </w:tc>
        <w:tc>
          <w:tcPr>
            <w:tcW w:w="1277" w:type="dxa"/>
            <w:tcBorders>
              <w:top w:val="nil"/>
              <w:left w:val="single" w:sz="4" w:space="0" w:color="000000"/>
              <w:bottom w:val="nil"/>
              <w:right w:val="single" w:sz="4" w:space="0" w:color="000000"/>
            </w:tcBorders>
            <w:shd w:val="clear" w:color="auto" w:fill="FFFFFF"/>
          </w:tcPr>
          <w:p w:rsidR="001C682A" w:rsidRDefault="00B03C38">
            <w:pPr>
              <w:spacing w:after="0" w:line="259" w:lineRule="auto"/>
              <w:ind w:left="33" w:firstLine="0"/>
              <w:jc w:val="center"/>
            </w:pPr>
            <w:r>
              <w:rPr>
                <w:sz w:val="20"/>
              </w:rPr>
              <w:t>4.59</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nil"/>
              <w:right w:val="nil"/>
            </w:tcBorders>
            <w:shd w:val="clear" w:color="auto" w:fill="FFFFFF"/>
          </w:tcPr>
          <w:p w:rsidR="001C682A" w:rsidRDefault="00B03C38">
            <w:pPr>
              <w:spacing w:after="0" w:line="259" w:lineRule="auto"/>
              <w:ind w:left="31" w:firstLine="0"/>
              <w:jc w:val="center"/>
            </w:pPr>
            <w:r>
              <w:rPr>
                <w:sz w:val="20"/>
              </w:rPr>
              <w:t>5.31</w:t>
            </w:r>
            <w:r>
              <w:rPr>
                <w:rFonts w:ascii="Franklin Gothic Book" w:eastAsia="Franklin Gothic Book" w:hAnsi="Franklin Gothic Book" w:cs="Franklin Gothic Book"/>
                <w:sz w:val="24"/>
              </w:rPr>
              <w:t xml:space="preserve"> </w:t>
            </w:r>
          </w:p>
        </w:tc>
      </w:tr>
      <w:tr w:rsidR="001C682A">
        <w:trPr>
          <w:trHeight w:val="532"/>
        </w:trPr>
        <w:tc>
          <w:tcPr>
            <w:tcW w:w="4254" w:type="dxa"/>
            <w:tcBorders>
              <w:top w:val="nil"/>
              <w:left w:val="nil"/>
              <w:bottom w:val="single" w:sz="4" w:space="0" w:color="000000"/>
              <w:right w:val="single" w:sz="4" w:space="0" w:color="000000"/>
            </w:tcBorders>
            <w:shd w:val="clear" w:color="auto" w:fill="FFFFFF"/>
            <w:vAlign w:val="center"/>
          </w:tcPr>
          <w:p w:rsidR="001C682A" w:rsidRDefault="00B03C38">
            <w:pPr>
              <w:spacing w:after="0" w:line="259" w:lineRule="auto"/>
              <w:ind w:left="0" w:firstLine="0"/>
              <w:jc w:val="left"/>
            </w:pPr>
            <w:r>
              <w:rPr>
                <w:sz w:val="20"/>
              </w:rPr>
              <w:t>Average Exchange Rate (N/</w:t>
            </w:r>
            <w:proofErr w:type="gramStart"/>
            <w:r>
              <w:rPr>
                <w:sz w:val="20"/>
              </w:rPr>
              <w:t>$)*</w:t>
            </w:r>
            <w:proofErr w:type="gramEnd"/>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single" w:sz="4" w:space="0" w:color="000000"/>
              <w:right w:val="single" w:sz="4" w:space="0" w:color="000000"/>
            </w:tcBorders>
            <w:shd w:val="clear" w:color="auto" w:fill="FFFFFF"/>
            <w:vAlign w:val="center"/>
          </w:tcPr>
          <w:p w:rsidR="001C682A" w:rsidRDefault="00B03C38">
            <w:pPr>
              <w:spacing w:after="0" w:line="259" w:lineRule="auto"/>
              <w:ind w:left="34" w:firstLine="0"/>
              <w:jc w:val="center"/>
            </w:pPr>
            <w:r>
              <w:rPr>
                <w:sz w:val="20"/>
              </w:rPr>
              <w:t>376.71</w:t>
            </w:r>
            <w:r>
              <w:rPr>
                <w:rFonts w:ascii="Franklin Gothic Book" w:eastAsia="Franklin Gothic Book" w:hAnsi="Franklin Gothic Book" w:cs="Franklin Gothic Book"/>
                <w:sz w:val="24"/>
              </w:rPr>
              <w:t xml:space="preserve"> </w:t>
            </w:r>
          </w:p>
        </w:tc>
        <w:tc>
          <w:tcPr>
            <w:tcW w:w="1277" w:type="dxa"/>
            <w:tcBorders>
              <w:top w:val="nil"/>
              <w:left w:val="single" w:sz="4" w:space="0" w:color="000000"/>
              <w:bottom w:val="single" w:sz="4" w:space="0" w:color="000000"/>
              <w:right w:val="single" w:sz="4" w:space="0" w:color="000000"/>
            </w:tcBorders>
            <w:shd w:val="clear" w:color="auto" w:fill="FFFFFF"/>
            <w:vAlign w:val="center"/>
          </w:tcPr>
          <w:p w:rsidR="001C682A" w:rsidRDefault="00B03C38">
            <w:pPr>
              <w:spacing w:after="0" w:line="259" w:lineRule="auto"/>
              <w:ind w:left="36" w:firstLine="0"/>
              <w:jc w:val="center"/>
            </w:pPr>
            <w:r>
              <w:rPr>
                <w:sz w:val="20"/>
              </w:rPr>
              <w:t>376.56</w:t>
            </w:r>
            <w:r>
              <w:rPr>
                <w:rFonts w:ascii="Franklin Gothic Book" w:eastAsia="Franklin Gothic Book" w:hAnsi="Franklin Gothic Book" w:cs="Franklin Gothic Book"/>
                <w:sz w:val="24"/>
              </w:rPr>
              <w:t xml:space="preserve"> </w:t>
            </w:r>
          </w:p>
        </w:tc>
        <w:tc>
          <w:tcPr>
            <w:tcW w:w="1274" w:type="dxa"/>
            <w:tcBorders>
              <w:top w:val="nil"/>
              <w:left w:val="single" w:sz="4" w:space="0" w:color="000000"/>
              <w:bottom w:val="single" w:sz="4" w:space="0" w:color="000000"/>
              <w:right w:val="nil"/>
            </w:tcBorders>
            <w:shd w:val="clear" w:color="auto" w:fill="FFFFFF"/>
            <w:vAlign w:val="center"/>
          </w:tcPr>
          <w:p w:rsidR="001C682A" w:rsidRDefault="00B03C38">
            <w:pPr>
              <w:spacing w:after="0" w:line="259" w:lineRule="auto"/>
              <w:ind w:left="34" w:firstLine="0"/>
              <w:jc w:val="center"/>
            </w:pPr>
            <w:r>
              <w:rPr>
                <w:sz w:val="20"/>
              </w:rPr>
              <w:t>374.32</w:t>
            </w:r>
            <w:r>
              <w:rPr>
                <w:rFonts w:ascii="Franklin Gothic Book" w:eastAsia="Franklin Gothic Book" w:hAnsi="Franklin Gothic Book" w:cs="Franklin Gothic Book"/>
                <w:sz w:val="24"/>
              </w:rPr>
              <w:t xml:space="preserve"> </w:t>
            </w:r>
          </w:p>
        </w:tc>
      </w:tr>
    </w:tbl>
    <w:p w:rsidR="001C682A" w:rsidRDefault="00B03C38">
      <w:pPr>
        <w:spacing w:after="246" w:line="259" w:lineRule="auto"/>
        <w:ind w:left="213"/>
        <w:jc w:val="left"/>
      </w:pPr>
      <w:r>
        <w:rPr>
          <w:rFonts w:ascii="Tahoma" w:eastAsia="Tahoma" w:hAnsi="Tahoma" w:cs="Tahoma"/>
          <w:sz w:val="16"/>
        </w:rPr>
        <w:lastRenderedPageBreak/>
        <w:t xml:space="preserve">        </w:t>
      </w:r>
      <w:r>
        <w:rPr>
          <w:i/>
          <w:sz w:val="18"/>
        </w:rPr>
        <w:t>Source: CBN</w:t>
      </w:r>
      <w:r>
        <w:rPr>
          <w:i/>
          <w:sz w:val="16"/>
        </w:rPr>
        <w:t xml:space="preserve"> </w:t>
      </w:r>
    </w:p>
    <w:p w:rsidR="001C682A" w:rsidRDefault="00B03C38">
      <w:pPr>
        <w:spacing w:after="4" w:line="249" w:lineRule="auto"/>
        <w:ind w:left="218" w:right="818" w:firstLine="0"/>
      </w:pPr>
      <w:r>
        <w:rPr>
          <w:i/>
          <w:sz w:val="20"/>
        </w:rPr>
        <w:t xml:space="preserve">*This does not factor in the parallel market rate which the CBN does not recognize as a legitimate window in Nigeria’s foreign exchange market </w:t>
      </w:r>
    </w:p>
    <w:p w:rsidR="001C682A" w:rsidRDefault="00B03C38">
      <w:pPr>
        <w:pStyle w:val="Heading4"/>
        <w:spacing w:after="151" w:line="259" w:lineRule="auto"/>
        <w:ind w:left="213"/>
      </w:pPr>
      <w:bookmarkStart w:id="76" w:name="_Toc389423"/>
      <w:r>
        <w:rPr>
          <w:rFonts w:ascii="Calibri" w:eastAsia="Calibri" w:hAnsi="Calibri" w:cs="Calibri"/>
          <w:color w:val="1F3763"/>
        </w:rPr>
        <w:t xml:space="preserve">7.3.3 Challenges to Monetary Policy and Outlook for the economy </w:t>
      </w:r>
      <w:bookmarkEnd w:id="76"/>
    </w:p>
    <w:p w:rsidR="001C682A" w:rsidRDefault="00B03C38">
      <w:pPr>
        <w:spacing w:after="246"/>
        <w:ind w:left="236" w:right="816"/>
      </w:pPr>
      <w:r>
        <w:t xml:space="preserve">To achieve the above, the CBN monetary policy and credit stance would need to encourage higher banking sector credit to the economy, however, considering the expected levels of inflation and the large fiscal expansions, monetary aggregates are expected to increase significantly with implications for domestic prices, including foreign exchange and interest rates, which may hinder the required credit expansion.  </w:t>
      </w:r>
    </w:p>
    <w:p w:rsidR="001C682A" w:rsidRDefault="00B03C38">
      <w:pPr>
        <w:spacing w:after="244"/>
        <w:ind w:left="236" w:right="816"/>
      </w:pPr>
      <w:r>
        <w:t xml:space="preserve">The projected monetary and credit indicative benchmarks from 2021/2023 would aim at a cumulative average of: </w:t>
      </w:r>
    </w:p>
    <w:p w:rsidR="001C682A" w:rsidRDefault="00B03C38">
      <w:pPr>
        <w:numPr>
          <w:ilvl w:val="0"/>
          <w:numId w:val="8"/>
        </w:numPr>
        <w:ind w:right="816" w:hanging="720"/>
      </w:pPr>
      <w:r>
        <w:t xml:space="preserve">M3 and M2 growth of 9.90 and 11.85 per cent, respectively; </w:t>
      </w:r>
    </w:p>
    <w:p w:rsidR="001C682A" w:rsidRDefault="00B03C38">
      <w:pPr>
        <w:numPr>
          <w:ilvl w:val="0"/>
          <w:numId w:val="8"/>
        </w:numPr>
        <w:ind w:right="816" w:hanging="720"/>
      </w:pPr>
      <w:r>
        <w:t xml:space="preserve">NFA growth of 25.71 per cent; </w:t>
      </w:r>
    </w:p>
    <w:p w:rsidR="001C682A" w:rsidRDefault="00B03C38">
      <w:pPr>
        <w:numPr>
          <w:ilvl w:val="0"/>
          <w:numId w:val="8"/>
        </w:numPr>
        <w:ind w:right="816" w:hanging="720"/>
      </w:pPr>
      <w:r>
        <w:t xml:space="preserve">Net domestic credit growth of 16. 30 per cent - an average of 26.21 and 12.70 per cent to Government and Private sectors, respectively; and </w:t>
      </w:r>
    </w:p>
    <w:p w:rsidR="001C682A" w:rsidRDefault="00B03C38">
      <w:pPr>
        <w:numPr>
          <w:ilvl w:val="0"/>
          <w:numId w:val="8"/>
        </w:numPr>
        <w:spacing w:after="243"/>
        <w:ind w:right="816" w:hanging="720"/>
      </w:pPr>
      <w:r>
        <w:t xml:space="preserve">External reserves of $38.83 $USD billion representing an average growth rate 4.07 per cent for the entire MTF. </w:t>
      </w:r>
    </w:p>
    <w:p w:rsidR="001C682A" w:rsidRDefault="00B03C38">
      <w:pPr>
        <w:spacing w:after="202"/>
        <w:ind w:left="236" w:right="816"/>
      </w:pPr>
      <w:r>
        <w:t xml:space="preserve">Monetary policy would remain proactive in ensuring monetary and price stability conducive for sustainable and inclusive growth, as well as maintaining a safe, stable and sound financial system necessary to support economic growth. In the medium term (2020-2023) and beyond, the Bank would continue to monitor global and domestic developments and evaluate its implications for the Nigerian economy in line with the above stated objectives.  </w:t>
      </w:r>
    </w:p>
    <w:p w:rsidR="001C682A" w:rsidRDefault="00B03C38">
      <w:pPr>
        <w:spacing w:after="459"/>
        <w:ind w:left="236" w:right="816"/>
      </w:pPr>
      <w:r>
        <w:t xml:space="preserve">This current framework will be guided by several short-term interventions, though principally focused on the medium-term growth recovery and development plan. Consequently, volatility may be expected in key monetary aggregates in the short-term, with consequences for sustaining price stability and financial system resilience.  Given the projected decline in global output growth and commodity prices, external shocks could mount pressures on the expected export expansion and external reserve accretion. This may weaken the Bank’s ability to moderate domestic prices, maintain positive external balance and support real output growth in the short to medium term. Therefore, we maintain a cautious GDP growth projection in the medium term, precedent on improved global economic and financial conditions, in addition to continuing coordination of fiscal and monetary policy responses to the impact of the COVID19 pandemic. </w:t>
      </w:r>
    </w:p>
    <w:p w:rsidR="001C682A" w:rsidRDefault="00B03C38">
      <w:pPr>
        <w:pStyle w:val="Heading3"/>
        <w:tabs>
          <w:tab w:val="center" w:pos="415"/>
          <w:tab w:val="center" w:pos="2893"/>
        </w:tabs>
        <w:spacing w:after="0" w:line="259" w:lineRule="auto"/>
        <w:ind w:left="0" w:firstLine="0"/>
      </w:pPr>
      <w:bookmarkStart w:id="77" w:name="_Toc389424"/>
      <w:r>
        <w:rPr>
          <w:rFonts w:ascii="Calibri" w:eastAsia="Calibri" w:hAnsi="Calibri" w:cs="Calibri"/>
          <w:color w:val="000000"/>
          <w:sz w:val="22"/>
        </w:rPr>
        <w:tab/>
      </w:r>
      <w:r>
        <w:rPr>
          <w:b/>
        </w:rPr>
        <w:t xml:space="preserve">7.4 </w:t>
      </w:r>
      <w:r>
        <w:rPr>
          <w:b/>
        </w:rPr>
        <w:tab/>
        <w:t xml:space="preserve">Key Sectoral Policy Initiatives </w:t>
      </w:r>
      <w:bookmarkEnd w:id="77"/>
    </w:p>
    <w:p w:rsidR="001C682A" w:rsidRDefault="00B03C38">
      <w:pPr>
        <w:spacing w:after="187"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30985" name="Group 330985"/>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769" name="Shape 395769"/>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30985" style="width:453.91pt;height:0.47998pt;mso-position-horizontal-relative:char;mso-position-vertical-relative:line" coordsize="57646,60">
                <v:shape id="Shape 395770"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ind w:left="236" w:right="816"/>
      </w:pPr>
      <w:r>
        <w:t xml:space="preserve">A number of sectoral policy initiatives are considered over the medium term. The Federal Government will seek to align most of such sectoral interventions towards the achievement of the Sustainable Development Goals (SDGs). </w:t>
      </w:r>
    </w:p>
    <w:p w:rsidR="001C682A" w:rsidRDefault="00B03C38">
      <w:pPr>
        <w:spacing w:after="25" w:line="259" w:lineRule="auto"/>
        <w:ind w:left="218" w:firstLine="0"/>
        <w:jc w:val="left"/>
      </w:pPr>
      <w:r>
        <w:rPr>
          <w:rFonts w:ascii="Franklin Gothic Book" w:eastAsia="Franklin Gothic Book" w:hAnsi="Franklin Gothic Book" w:cs="Franklin Gothic Book"/>
          <w:sz w:val="24"/>
        </w:rPr>
        <w:t xml:space="preserve"> </w:t>
      </w:r>
    </w:p>
    <w:p w:rsidR="001C682A" w:rsidRDefault="00B03C38">
      <w:pPr>
        <w:pStyle w:val="Heading5"/>
        <w:tabs>
          <w:tab w:val="center" w:pos="485"/>
          <w:tab w:val="center" w:pos="4526"/>
        </w:tabs>
        <w:spacing w:after="235" w:line="259" w:lineRule="auto"/>
        <w:ind w:left="0" w:firstLine="0"/>
      </w:pPr>
      <w:bookmarkStart w:id="78" w:name="_Toc389425"/>
      <w:r>
        <w:rPr>
          <w:rFonts w:ascii="Calibri" w:eastAsia="Calibri" w:hAnsi="Calibri" w:cs="Calibri"/>
          <w:color w:val="000000"/>
          <w:sz w:val="22"/>
        </w:rPr>
        <w:lastRenderedPageBreak/>
        <w:tab/>
      </w:r>
      <w:r>
        <w:rPr>
          <w:rFonts w:ascii="Arial" w:eastAsia="Arial" w:hAnsi="Arial" w:cs="Arial"/>
          <w:i/>
          <w:color w:val="2F5496"/>
          <w:sz w:val="24"/>
        </w:rPr>
        <w:t xml:space="preserve">7.4.1 </w:t>
      </w:r>
      <w:r>
        <w:rPr>
          <w:rFonts w:ascii="Arial" w:eastAsia="Arial" w:hAnsi="Arial" w:cs="Arial"/>
          <w:i/>
          <w:color w:val="2F5496"/>
          <w:sz w:val="24"/>
        </w:rPr>
        <w:tab/>
        <w:t xml:space="preserve">Extensive Public Works and Road Construction Programme </w:t>
      </w:r>
      <w:bookmarkEnd w:id="78"/>
    </w:p>
    <w:p w:rsidR="001C682A" w:rsidRDefault="00B03C38">
      <w:pPr>
        <w:ind w:left="236" w:right="816"/>
      </w:pPr>
      <w:r>
        <w:t xml:space="preserve">As part of measures to conserve foreign exchange expended on importation of bitumen for road construction, emphasis will now be on the use of locally available materials like limestone, cement and granite. Options have been explored for using these materials in major Federal highways.  This initiative will also ensure that a significant number of workers will be engaged in the construction of rural roads using stones and other materials available locally. </w:t>
      </w:r>
    </w:p>
    <w:p w:rsidR="001C682A" w:rsidRDefault="00B03C38">
      <w:pPr>
        <w:ind w:left="236" w:right="816"/>
      </w:pPr>
      <w:r>
        <w:t xml:space="preserve">Government is developing the engineering concept and template for this approach for extensive cover of rural roads. </w:t>
      </w:r>
    </w:p>
    <w:p w:rsidR="001C682A" w:rsidRDefault="00B03C38">
      <w:pPr>
        <w:spacing w:after="25" w:line="259" w:lineRule="auto"/>
        <w:ind w:left="218" w:firstLine="0"/>
        <w:jc w:val="left"/>
      </w:pPr>
      <w:r>
        <w:rPr>
          <w:rFonts w:ascii="Franklin Gothic Book" w:eastAsia="Franklin Gothic Book" w:hAnsi="Franklin Gothic Book" w:cs="Franklin Gothic Book"/>
          <w:sz w:val="24"/>
        </w:rPr>
        <w:t xml:space="preserve"> </w:t>
      </w:r>
    </w:p>
    <w:p w:rsidR="001C682A" w:rsidRDefault="00B03C38">
      <w:pPr>
        <w:pStyle w:val="Heading5"/>
        <w:tabs>
          <w:tab w:val="center" w:pos="485"/>
          <w:tab w:val="center" w:pos="3853"/>
        </w:tabs>
        <w:spacing w:after="6" w:line="259" w:lineRule="auto"/>
        <w:ind w:left="0" w:firstLine="0"/>
      </w:pPr>
      <w:bookmarkStart w:id="79" w:name="_Toc389426"/>
      <w:r>
        <w:rPr>
          <w:rFonts w:ascii="Calibri" w:eastAsia="Calibri" w:hAnsi="Calibri" w:cs="Calibri"/>
          <w:color w:val="000000"/>
          <w:sz w:val="22"/>
        </w:rPr>
        <w:tab/>
      </w:r>
      <w:r>
        <w:rPr>
          <w:rFonts w:ascii="Arial" w:eastAsia="Arial" w:hAnsi="Arial" w:cs="Arial"/>
          <w:i/>
          <w:color w:val="2F5496"/>
          <w:sz w:val="24"/>
        </w:rPr>
        <w:t xml:space="preserve">7.4.2 </w:t>
      </w:r>
      <w:r>
        <w:rPr>
          <w:rFonts w:ascii="Arial" w:eastAsia="Arial" w:hAnsi="Arial" w:cs="Arial"/>
          <w:i/>
          <w:color w:val="2F5496"/>
          <w:sz w:val="24"/>
        </w:rPr>
        <w:tab/>
        <w:t xml:space="preserve">Support for Micro, Small &amp; Medium Enterprises </w:t>
      </w:r>
      <w:bookmarkEnd w:id="79"/>
    </w:p>
    <w:p w:rsidR="001C682A" w:rsidRDefault="00B03C38">
      <w:pPr>
        <w:spacing w:after="0" w:line="259" w:lineRule="auto"/>
        <w:ind w:left="218" w:firstLine="0"/>
        <w:jc w:val="left"/>
      </w:pPr>
      <w:r>
        <w:rPr>
          <w:rFonts w:ascii="Franklin Gothic Book" w:eastAsia="Franklin Gothic Book" w:hAnsi="Franklin Gothic Book" w:cs="Franklin Gothic Book"/>
          <w:sz w:val="24"/>
        </w:rPr>
        <w:t xml:space="preserve"> </w:t>
      </w:r>
    </w:p>
    <w:p w:rsidR="001C682A" w:rsidRDefault="00B03C38">
      <w:pPr>
        <w:ind w:left="236" w:right="816"/>
      </w:pPr>
      <w:r>
        <w:t xml:space="preserve">Initiatives for micro, small and medium enterprises are being implemented to support business activities through guaranteed off take of items like personal protective equipment, face shields, face masks, hand sanitizers, shoe covers, soaps, etc. This scheme is expected to catalyse massive investments in light manufacturing, which will ensure that many commonly used items are produced in local communities thereby stimulating economic activities.  </w:t>
      </w:r>
    </w:p>
    <w:p w:rsidR="001C682A" w:rsidRDefault="00B03C38">
      <w:pPr>
        <w:spacing w:after="0" w:line="259" w:lineRule="auto"/>
        <w:ind w:left="218" w:firstLine="0"/>
        <w:jc w:val="left"/>
      </w:pPr>
      <w:r>
        <w:t xml:space="preserve"> </w:t>
      </w:r>
    </w:p>
    <w:p w:rsidR="001C682A" w:rsidRDefault="00B03C38">
      <w:pPr>
        <w:ind w:left="236" w:right="816"/>
      </w:pPr>
      <w:r>
        <w:t xml:space="preserve">Government will also implement a Survival Fund aimed at ensuring that small and </w:t>
      </w:r>
      <w:proofErr w:type="spellStart"/>
      <w:r>
        <w:t>mediumsized</w:t>
      </w:r>
      <w:proofErr w:type="spellEnd"/>
      <w:r>
        <w:t xml:space="preserve"> enterprises can keep their employees and help maintain jobs through   payroll support. </w:t>
      </w:r>
    </w:p>
    <w:p w:rsidR="001C682A" w:rsidRDefault="00B03C38">
      <w:pPr>
        <w:spacing w:after="25" w:line="259" w:lineRule="auto"/>
        <w:ind w:left="218" w:firstLine="0"/>
        <w:jc w:val="left"/>
      </w:pPr>
      <w:r>
        <w:rPr>
          <w:rFonts w:ascii="Franklin Gothic Book" w:eastAsia="Franklin Gothic Book" w:hAnsi="Franklin Gothic Book" w:cs="Franklin Gothic Book"/>
          <w:sz w:val="24"/>
        </w:rPr>
        <w:t xml:space="preserve"> </w:t>
      </w:r>
    </w:p>
    <w:p w:rsidR="001C682A" w:rsidRDefault="00B03C38">
      <w:pPr>
        <w:pStyle w:val="Heading5"/>
        <w:tabs>
          <w:tab w:val="center" w:pos="485"/>
          <w:tab w:val="center" w:pos="3000"/>
        </w:tabs>
        <w:spacing w:after="235" w:line="259" w:lineRule="auto"/>
        <w:ind w:left="0" w:firstLine="0"/>
      </w:pPr>
      <w:bookmarkStart w:id="80" w:name="_Toc389427"/>
      <w:r>
        <w:rPr>
          <w:rFonts w:ascii="Calibri" w:eastAsia="Calibri" w:hAnsi="Calibri" w:cs="Calibri"/>
          <w:color w:val="000000"/>
          <w:sz w:val="22"/>
        </w:rPr>
        <w:tab/>
      </w:r>
      <w:r>
        <w:rPr>
          <w:rFonts w:ascii="Arial" w:eastAsia="Arial" w:hAnsi="Arial" w:cs="Arial"/>
          <w:i/>
          <w:color w:val="2F5496"/>
          <w:sz w:val="24"/>
        </w:rPr>
        <w:t xml:space="preserve">7.4.3 </w:t>
      </w:r>
      <w:r>
        <w:rPr>
          <w:rFonts w:ascii="Arial" w:eastAsia="Arial" w:hAnsi="Arial" w:cs="Arial"/>
          <w:i/>
          <w:color w:val="2F5496"/>
          <w:sz w:val="24"/>
        </w:rPr>
        <w:tab/>
        <w:t xml:space="preserve">Energy Sector Policy Initiatives </w:t>
      </w:r>
      <w:bookmarkEnd w:id="80"/>
    </w:p>
    <w:p w:rsidR="001C682A" w:rsidRDefault="00B03C38">
      <w:pPr>
        <w:ind w:left="236" w:right="816"/>
      </w:pPr>
      <w:r>
        <w:t xml:space="preserve">Energizing Economies Programme: Government will intensify the implementation of the </w:t>
      </w:r>
    </w:p>
    <w:p w:rsidR="001C682A" w:rsidRDefault="00B03C38">
      <w:pPr>
        <w:ind w:left="236" w:right="816"/>
      </w:pPr>
      <w:r>
        <w:t xml:space="preserve">Energizing Economies Programme. The programme is a public-private partnership led by the Rural Electrification Agency (REA), to deliver stable power supply to markets and economic clusters across the country.   </w:t>
      </w:r>
    </w:p>
    <w:p w:rsidR="001C682A" w:rsidRDefault="00B03C38">
      <w:pPr>
        <w:spacing w:after="0" w:line="259" w:lineRule="auto"/>
        <w:ind w:left="218" w:firstLine="0"/>
        <w:jc w:val="left"/>
      </w:pPr>
      <w:r>
        <w:t xml:space="preserve"> </w:t>
      </w:r>
    </w:p>
    <w:p w:rsidR="001C682A" w:rsidRDefault="00B03C38">
      <w:pPr>
        <w:ind w:left="236" w:right="816"/>
      </w:pPr>
      <w:r>
        <w:t xml:space="preserve">Installation of Solar Home Systems: Installation of Solar Home Systems is planned to cover up to 5 million households, serving about 25 million individual Nigerians who are currently not connected to the National Grid. In view of the scale of materials required, solar equipment manufacturers will be required to set up production facilities in Nigeria, thereby offering additional job opportunities to Nigerians. In addition, installation, servicing and payment collections are expected to provide thousands of other jobs. </w:t>
      </w:r>
    </w:p>
    <w:p w:rsidR="001C682A" w:rsidRDefault="00B03C38">
      <w:pPr>
        <w:spacing w:after="0" w:line="259" w:lineRule="auto"/>
        <w:ind w:left="218" w:firstLine="0"/>
        <w:jc w:val="left"/>
      </w:pPr>
      <w:r>
        <w:t xml:space="preserve"> </w:t>
      </w:r>
    </w:p>
    <w:p w:rsidR="001C682A" w:rsidRDefault="00B03C38">
      <w:pPr>
        <w:ind w:left="236" w:right="816"/>
      </w:pPr>
      <w:r>
        <w:t xml:space="preserve">Promotion of Domestic Gas Utilisation: To take advantage of Nigeria’s abundant gas resources, which is also cheaper and </w:t>
      </w:r>
      <w:proofErr w:type="gramStart"/>
      <w:r>
        <w:t>more friendly</w:t>
      </w:r>
      <w:proofErr w:type="gramEnd"/>
      <w:r>
        <w:t xml:space="preserve"> to the environment, this project will promote indigenous manufacture of gas cylinders, building of gas filling stations and conversion of cars to promote the wide use of compressed natural gas in the domestic market. </w:t>
      </w:r>
    </w:p>
    <w:p w:rsidR="001C682A" w:rsidRDefault="00B03C38">
      <w:pPr>
        <w:spacing w:after="25" w:line="259" w:lineRule="auto"/>
        <w:ind w:left="218" w:firstLine="0"/>
        <w:jc w:val="left"/>
      </w:pPr>
      <w:r>
        <w:rPr>
          <w:rFonts w:ascii="Franklin Gothic Book" w:eastAsia="Franklin Gothic Book" w:hAnsi="Franklin Gothic Book" w:cs="Franklin Gothic Book"/>
          <w:sz w:val="24"/>
        </w:rPr>
        <w:t xml:space="preserve"> </w:t>
      </w:r>
    </w:p>
    <w:p w:rsidR="001C682A" w:rsidRDefault="00B03C38">
      <w:pPr>
        <w:pStyle w:val="Heading5"/>
        <w:tabs>
          <w:tab w:val="center" w:pos="485"/>
          <w:tab w:val="center" w:pos="2931"/>
        </w:tabs>
        <w:spacing w:after="235" w:line="259" w:lineRule="auto"/>
        <w:ind w:left="0" w:firstLine="0"/>
      </w:pPr>
      <w:bookmarkStart w:id="81" w:name="_Toc389428"/>
      <w:r>
        <w:rPr>
          <w:rFonts w:ascii="Calibri" w:eastAsia="Calibri" w:hAnsi="Calibri" w:cs="Calibri"/>
          <w:color w:val="000000"/>
          <w:sz w:val="22"/>
        </w:rPr>
        <w:tab/>
      </w:r>
      <w:r>
        <w:rPr>
          <w:rFonts w:ascii="Arial" w:eastAsia="Arial" w:hAnsi="Arial" w:cs="Arial"/>
          <w:i/>
          <w:color w:val="2F5496"/>
          <w:sz w:val="24"/>
        </w:rPr>
        <w:t xml:space="preserve">7.4.4 </w:t>
      </w:r>
      <w:r>
        <w:rPr>
          <w:rFonts w:ascii="Arial" w:eastAsia="Arial" w:hAnsi="Arial" w:cs="Arial"/>
          <w:i/>
          <w:color w:val="2F5496"/>
          <w:sz w:val="24"/>
        </w:rPr>
        <w:tab/>
        <w:t xml:space="preserve">Mass Agricultural Programme </w:t>
      </w:r>
      <w:bookmarkEnd w:id="81"/>
    </w:p>
    <w:p w:rsidR="001C682A" w:rsidRDefault="00B03C38">
      <w:pPr>
        <w:spacing w:after="27"/>
        <w:ind w:left="236" w:right="816"/>
      </w:pPr>
      <w:r>
        <w:t xml:space="preserve">This is expected to bring between 20,000 and 100,000 hectares of new farmland under cultivation in every State of the Federation. The aim is to create millions of job opportunities, directly and indirectly, over a 12-month period. A significant number of Nigerians will be incentivised to engage in farming and </w:t>
      </w:r>
      <w:proofErr w:type="spellStart"/>
      <w:r>
        <w:t>agro</w:t>
      </w:r>
      <w:proofErr w:type="spellEnd"/>
      <w:r>
        <w:t xml:space="preserve">-processing, as that is a field in which Nigeria has comparative advantage.  </w:t>
      </w:r>
    </w:p>
    <w:p w:rsidR="001C682A" w:rsidRDefault="00B03C38">
      <w:pPr>
        <w:spacing w:after="15" w:line="259" w:lineRule="auto"/>
        <w:ind w:left="218" w:firstLine="0"/>
        <w:jc w:val="left"/>
      </w:pPr>
      <w:r>
        <w:rPr>
          <w:rFonts w:ascii="Calibri" w:eastAsia="Calibri" w:hAnsi="Calibri" w:cs="Calibri"/>
          <w:sz w:val="24"/>
        </w:rPr>
        <w:t xml:space="preserve"> </w:t>
      </w:r>
    </w:p>
    <w:p w:rsidR="001C682A" w:rsidRDefault="00B03C38">
      <w:pPr>
        <w:pStyle w:val="Heading5"/>
        <w:tabs>
          <w:tab w:val="center" w:pos="485"/>
          <w:tab w:val="center" w:pos="3254"/>
        </w:tabs>
        <w:spacing w:after="235" w:line="259" w:lineRule="auto"/>
        <w:ind w:left="0" w:firstLine="0"/>
      </w:pPr>
      <w:bookmarkStart w:id="82" w:name="_Toc389429"/>
      <w:r>
        <w:rPr>
          <w:rFonts w:ascii="Calibri" w:eastAsia="Calibri" w:hAnsi="Calibri" w:cs="Calibri"/>
          <w:color w:val="000000"/>
          <w:sz w:val="22"/>
        </w:rPr>
        <w:lastRenderedPageBreak/>
        <w:tab/>
      </w:r>
      <w:r>
        <w:rPr>
          <w:rFonts w:ascii="Arial" w:eastAsia="Arial" w:hAnsi="Arial" w:cs="Arial"/>
          <w:i/>
          <w:color w:val="2F5496"/>
          <w:sz w:val="24"/>
        </w:rPr>
        <w:t xml:space="preserve">7.4.5 </w:t>
      </w:r>
      <w:r>
        <w:rPr>
          <w:rFonts w:ascii="Arial" w:eastAsia="Arial" w:hAnsi="Arial" w:cs="Arial"/>
          <w:i/>
          <w:color w:val="2F5496"/>
          <w:sz w:val="24"/>
        </w:rPr>
        <w:tab/>
        <w:t xml:space="preserve">Strengthening the Social Safety Net </w:t>
      </w:r>
      <w:bookmarkEnd w:id="82"/>
    </w:p>
    <w:p w:rsidR="001C682A" w:rsidRDefault="00B03C38">
      <w:pPr>
        <w:ind w:left="236" w:right="816"/>
      </w:pPr>
      <w:r>
        <w:t xml:space="preserve">Government will strengthen existing social safety nets programmes. This will be achieved through an increase in the number of conditional cash transfer beneficiaries, N-Power volunteers and sundry traders enjoying small and micro loans through the </w:t>
      </w:r>
      <w:proofErr w:type="spellStart"/>
      <w:r>
        <w:t>MarketMoni</w:t>
      </w:r>
      <w:proofErr w:type="spellEnd"/>
      <w:r>
        <w:t xml:space="preserve"> and </w:t>
      </w:r>
      <w:proofErr w:type="spellStart"/>
      <w:r>
        <w:t>TraderMoni</w:t>
      </w:r>
      <w:proofErr w:type="spellEnd"/>
      <w:r>
        <w:t xml:space="preserve"> schemes. The existing conditional cash transfer will be extended to cover mostly the rural poor. However, on account of the current lockdown, most of the urban poor, artisans, labourers, petty traders, street vendors, cart pushers, have become further impoverished </w:t>
      </w:r>
    </w:p>
    <w:p w:rsidR="001C682A" w:rsidRDefault="00B03C38">
      <w:pPr>
        <w:spacing w:after="10" w:line="249" w:lineRule="auto"/>
        <w:ind w:left="213" w:right="504"/>
        <w:jc w:val="left"/>
      </w:pPr>
      <w:r>
        <w:rPr>
          <w:rFonts w:ascii="Franklin Gothic Book" w:eastAsia="Franklin Gothic Book" w:hAnsi="Franklin Gothic Book" w:cs="Franklin Gothic Book"/>
          <w:sz w:val="24"/>
        </w:rPr>
        <w:t xml:space="preserve">. </w:t>
      </w:r>
    </w:p>
    <w:p w:rsidR="001C682A" w:rsidRDefault="00B03C38">
      <w:pPr>
        <w:spacing w:after="0" w:line="259" w:lineRule="auto"/>
        <w:ind w:left="218" w:firstLine="0"/>
        <w:jc w:val="left"/>
      </w:pPr>
      <w:r>
        <w:rPr>
          <w:rFonts w:ascii="Franklin Gothic Book" w:eastAsia="Franklin Gothic Book" w:hAnsi="Franklin Gothic Book" w:cs="Franklin Gothic Book"/>
          <w:sz w:val="24"/>
        </w:rPr>
        <w:t xml:space="preserve"> </w:t>
      </w:r>
    </w:p>
    <w:p w:rsidR="001C682A" w:rsidRDefault="00B03C38">
      <w:pPr>
        <w:spacing w:after="0" w:line="259" w:lineRule="auto"/>
        <w:ind w:left="218" w:firstLine="0"/>
        <w:jc w:val="left"/>
      </w:pPr>
      <w:r>
        <w:rPr>
          <w:rFonts w:ascii="Franklin Gothic Book" w:eastAsia="Franklin Gothic Book" w:hAnsi="Franklin Gothic Book" w:cs="Franklin Gothic Book"/>
          <w:sz w:val="24"/>
        </w:rPr>
        <w:t xml:space="preserve"> </w:t>
      </w:r>
    </w:p>
    <w:p w:rsidR="001C682A" w:rsidRDefault="00B03C38">
      <w:pPr>
        <w:pStyle w:val="Heading5"/>
        <w:tabs>
          <w:tab w:val="center" w:pos="485"/>
          <w:tab w:val="center" w:pos="2339"/>
        </w:tabs>
        <w:spacing w:after="174" w:line="259" w:lineRule="auto"/>
        <w:ind w:left="0" w:firstLine="0"/>
      </w:pPr>
      <w:bookmarkStart w:id="83" w:name="_Toc389430"/>
      <w:r>
        <w:rPr>
          <w:rFonts w:ascii="Calibri" w:eastAsia="Calibri" w:hAnsi="Calibri" w:cs="Calibri"/>
          <w:color w:val="000000"/>
          <w:sz w:val="22"/>
        </w:rPr>
        <w:tab/>
      </w:r>
      <w:r>
        <w:rPr>
          <w:rFonts w:ascii="Arial" w:eastAsia="Arial" w:hAnsi="Arial" w:cs="Arial"/>
          <w:i/>
          <w:color w:val="2F5496"/>
          <w:sz w:val="24"/>
        </w:rPr>
        <w:t xml:space="preserve">7.4.6 </w:t>
      </w:r>
      <w:r>
        <w:rPr>
          <w:rFonts w:ascii="Arial" w:eastAsia="Arial" w:hAnsi="Arial" w:cs="Arial"/>
          <w:i/>
          <w:color w:val="2F5496"/>
          <w:sz w:val="24"/>
        </w:rPr>
        <w:tab/>
        <w:t xml:space="preserve">Digital Technology </w:t>
      </w:r>
      <w:bookmarkEnd w:id="83"/>
    </w:p>
    <w:p w:rsidR="001C682A" w:rsidRDefault="00B03C38">
      <w:pPr>
        <w:spacing w:after="252"/>
        <w:ind w:left="236" w:right="816"/>
      </w:pPr>
      <w:r>
        <w:t xml:space="preserve">To foster a culture of innovation and create a wide variety of technology and ICT jobs, special attention will be paid to the promotion of technology hubs, call-centres for business process outsourcing and digitisation of processes, both in Government and within the private sector. Experience thus far indicates that, if well harnessed, this is a sector that can create jobs on a large scale and earn foreign exchange for the country. </w:t>
      </w:r>
    </w:p>
    <w:p w:rsidR="001C682A" w:rsidRDefault="00B03C38">
      <w:pPr>
        <w:pStyle w:val="Heading8"/>
        <w:tabs>
          <w:tab w:val="center" w:pos="486"/>
          <w:tab w:val="center" w:pos="3272"/>
        </w:tabs>
        <w:spacing w:after="0" w:line="259" w:lineRule="auto"/>
        <w:ind w:left="0" w:firstLine="0"/>
      </w:pPr>
      <w:r>
        <w:rPr>
          <w:rFonts w:ascii="Calibri" w:eastAsia="Calibri" w:hAnsi="Calibri" w:cs="Calibri"/>
          <w:color w:val="000000"/>
          <w:sz w:val="22"/>
        </w:rPr>
        <w:tab/>
      </w:r>
      <w:r>
        <w:rPr>
          <w:rFonts w:ascii="Arial" w:eastAsia="Arial" w:hAnsi="Arial" w:cs="Arial"/>
          <w:i/>
          <w:color w:val="2F5496"/>
          <w:sz w:val="24"/>
        </w:rPr>
        <w:t xml:space="preserve">7.4.7 </w:t>
      </w:r>
      <w:r>
        <w:rPr>
          <w:rFonts w:ascii="Arial" w:eastAsia="Arial" w:hAnsi="Arial" w:cs="Arial"/>
          <w:i/>
          <w:color w:val="2F5496"/>
          <w:sz w:val="24"/>
        </w:rPr>
        <w:tab/>
        <w:t xml:space="preserve">Entertainment and Creative Industry </w:t>
      </w:r>
    </w:p>
    <w:p w:rsidR="001C682A" w:rsidRDefault="00B03C38">
      <w:pPr>
        <w:spacing w:after="0" w:line="259" w:lineRule="auto"/>
        <w:ind w:left="218" w:firstLine="0"/>
        <w:jc w:val="left"/>
      </w:pPr>
      <w:r>
        <w:t xml:space="preserve"> </w:t>
      </w:r>
    </w:p>
    <w:p w:rsidR="001C682A" w:rsidRDefault="00B03C38">
      <w:pPr>
        <w:spacing w:after="150"/>
        <w:ind w:left="236" w:right="816"/>
      </w:pPr>
      <w:r>
        <w:t xml:space="preserve">Nigeria’s creative industries – film, music, broadcasting and publishing – have great growth potential as well as the space to create jobs and generate foreign exchange earnings. This underscores the continued emphasis of Government to promote and encourage developments in the sector. To support the private-sector led development of the industry, government will focus on addressing challenges such as weak enforcement of intellectual and property rights, inadequate supporting infrastructure and technology, and lack of access to financing to enable the sector to reach its full potential. Unlocking these constraints will create more opportunities for growth and employment, (especially of the teeming youth population). </w:t>
      </w:r>
    </w:p>
    <w:p w:rsidR="001C682A" w:rsidRDefault="00B03C38">
      <w:pPr>
        <w:spacing w:after="447" w:line="259" w:lineRule="auto"/>
        <w:ind w:left="218" w:firstLine="0"/>
        <w:jc w:val="left"/>
      </w:pPr>
      <w:r>
        <w:t xml:space="preserve"> </w:t>
      </w:r>
    </w:p>
    <w:p w:rsidR="001C682A" w:rsidRDefault="00B03C38">
      <w:pPr>
        <w:pStyle w:val="Heading2"/>
        <w:ind w:left="213" w:right="704"/>
      </w:pPr>
      <w:bookmarkStart w:id="84" w:name="_Toc389431"/>
      <w:r>
        <w:t xml:space="preserve">8.0 </w:t>
      </w:r>
      <w:r>
        <w:tab/>
        <w:t xml:space="preserve">ANALYSIS &amp; STATEMENT ON CONSOLIDATED DEBT &amp; CONTINGENT LIABILITIES  </w:t>
      </w:r>
      <w:bookmarkEnd w:id="84"/>
    </w:p>
    <w:p w:rsidR="001C682A" w:rsidRDefault="00B03C38">
      <w:pPr>
        <w:spacing w:after="435" w:line="259" w:lineRule="auto"/>
        <w:ind w:left="190" w:firstLine="0"/>
        <w:jc w:val="left"/>
      </w:pPr>
      <w:r>
        <w:rPr>
          <w:rFonts w:ascii="Calibri" w:eastAsia="Calibri" w:hAnsi="Calibri" w:cs="Calibri"/>
          <w:noProof/>
        </w:rPr>
        <mc:AlternateContent>
          <mc:Choice Requires="wpg">
            <w:drawing>
              <wp:inline distT="0" distB="0" distL="0" distR="0">
                <wp:extent cx="5764658" cy="18288"/>
                <wp:effectExtent l="0" t="0" r="0" b="0"/>
                <wp:docPr id="332490" name="Group 332490"/>
                <wp:cNvGraphicFramePr/>
                <a:graphic xmlns:a="http://schemas.openxmlformats.org/drawingml/2006/main">
                  <a:graphicData uri="http://schemas.microsoft.com/office/word/2010/wordprocessingGroup">
                    <wpg:wgp>
                      <wpg:cNvGrpSpPr/>
                      <wpg:grpSpPr>
                        <a:xfrm>
                          <a:off x="0" y="0"/>
                          <a:ext cx="5764658" cy="18288"/>
                          <a:chOff x="0" y="0"/>
                          <a:chExt cx="5764658" cy="18288"/>
                        </a:xfrm>
                      </wpg:grpSpPr>
                      <wps:wsp>
                        <wps:cNvPr id="395771" name="Shape 395771"/>
                        <wps:cNvSpPr/>
                        <wps:spPr>
                          <a:xfrm>
                            <a:off x="0" y="0"/>
                            <a:ext cx="5764658" cy="18288"/>
                          </a:xfrm>
                          <a:custGeom>
                            <a:avLst/>
                            <a:gdLst/>
                            <a:ahLst/>
                            <a:cxnLst/>
                            <a:rect l="0" t="0" r="0" b="0"/>
                            <a:pathLst>
                              <a:path w="5764658" h="18288">
                                <a:moveTo>
                                  <a:pt x="0" y="0"/>
                                </a:moveTo>
                                <a:lnTo>
                                  <a:pt x="5764658" y="0"/>
                                </a:lnTo>
                                <a:lnTo>
                                  <a:pt x="5764658" y="18288"/>
                                </a:lnTo>
                                <a:lnTo>
                                  <a:pt x="0" y="1828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32490" style="width:453.91pt;height:1.44pt;mso-position-horizontal-relative:char;mso-position-vertical-relative:line" coordsize="57646,182">
                <v:shape id="Shape 395772" style="position:absolute;width:57646;height:182;left:0;top:0;" coordsize="5764658,18288" path="m0,0l5764658,0l5764658,18288l0,18288l0,0">
                  <v:stroke weight="0pt" endcap="flat" joinstyle="miter" miterlimit="10" on="false" color="#000000" opacity="0"/>
                  <v:fill on="true" color="#000080"/>
                </v:shape>
              </v:group>
            </w:pict>
          </mc:Fallback>
        </mc:AlternateContent>
      </w:r>
    </w:p>
    <w:p w:rsidR="001C682A" w:rsidRDefault="00B03C38">
      <w:pPr>
        <w:pStyle w:val="Heading3"/>
        <w:tabs>
          <w:tab w:val="center" w:pos="415"/>
          <w:tab w:val="center" w:pos="2866"/>
        </w:tabs>
        <w:spacing w:after="0" w:line="259" w:lineRule="auto"/>
        <w:ind w:left="0" w:firstLine="0"/>
      </w:pPr>
      <w:bookmarkStart w:id="85" w:name="_Toc389432"/>
      <w:r>
        <w:rPr>
          <w:rFonts w:ascii="Calibri" w:eastAsia="Calibri" w:hAnsi="Calibri" w:cs="Calibri"/>
          <w:color w:val="000000"/>
          <w:sz w:val="22"/>
        </w:rPr>
        <w:tab/>
      </w:r>
      <w:r>
        <w:rPr>
          <w:b/>
        </w:rPr>
        <w:t xml:space="preserve">8.1 </w:t>
      </w:r>
      <w:r>
        <w:rPr>
          <w:b/>
        </w:rPr>
        <w:tab/>
        <w:t xml:space="preserve">Nigeria’s Current Debt Profile </w:t>
      </w:r>
      <w:bookmarkEnd w:id="85"/>
    </w:p>
    <w:p w:rsidR="001C682A" w:rsidRDefault="00B03C38">
      <w:pPr>
        <w:spacing w:after="228"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32491" name="Group 332491"/>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773" name="Shape 395773"/>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32491" style="width:453.91pt;height:0.480011pt;mso-position-horizontal-relative:char;mso-position-vertical-relative:line" coordsize="57646,60">
                <v:shape id="Shape 395774"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pStyle w:val="Heading4"/>
        <w:tabs>
          <w:tab w:val="center" w:pos="460"/>
          <w:tab w:val="center" w:pos="1460"/>
        </w:tabs>
        <w:spacing w:after="138" w:line="259" w:lineRule="auto"/>
        <w:ind w:left="0" w:firstLine="0"/>
      </w:pPr>
      <w:bookmarkStart w:id="86" w:name="_Toc389433"/>
      <w:r>
        <w:rPr>
          <w:rFonts w:ascii="Calibri" w:eastAsia="Calibri" w:hAnsi="Calibri" w:cs="Calibri"/>
          <w:color w:val="000000"/>
          <w:sz w:val="22"/>
        </w:rPr>
        <w:tab/>
      </w:r>
      <w:r>
        <w:rPr>
          <w:rFonts w:ascii="Calibri" w:eastAsia="Calibri" w:hAnsi="Calibri" w:cs="Calibri"/>
          <w:color w:val="1F3763"/>
          <w:sz w:val="24"/>
        </w:rPr>
        <w:t xml:space="preserve">8.1.1 </w:t>
      </w:r>
      <w:r>
        <w:rPr>
          <w:rFonts w:ascii="Calibri" w:eastAsia="Calibri" w:hAnsi="Calibri" w:cs="Calibri"/>
          <w:color w:val="1F3763"/>
          <w:sz w:val="24"/>
        </w:rPr>
        <w:tab/>
        <w:t xml:space="preserve">Debt Stock </w:t>
      </w:r>
      <w:bookmarkEnd w:id="86"/>
    </w:p>
    <w:p w:rsidR="001C682A" w:rsidRDefault="00B03C38">
      <w:pPr>
        <w:ind w:left="236" w:right="816"/>
      </w:pPr>
      <w:r>
        <w:t xml:space="preserve">Nigeria’s Total Public Debt stock (comprising the FGN, States and FCT) as at December 31, </w:t>
      </w:r>
    </w:p>
    <w:p w:rsidR="001C682A" w:rsidRDefault="00B03C38">
      <w:pPr>
        <w:spacing w:after="173"/>
        <w:ind w:left="236" w:right="816"/>
      </w:pPr>
      <w:r>
        <w:t xml:space="preserve">2019 was </w:t>
      </w:r>
      <w:r>
        <w:rPr>
          <w:dstrike/>
        </w:rPr>
        <w:t>N</w:t>
      </w:r>
      <w:r>
        <w:t xml:space="preserve">27,401,381.29 million (US$84,053.32 million) compared to </w:t>
      </w:r>
      <w:r>
        <w:rPr>
          <w:dstrike/>
        </w:rPr>
        <w:t>N</w:t>
      </w:r>
      <w:r>
        <w:t xml:space="preserve">24,387,071.74 million (US$79,436.72 million) as at December 31, 2018, representing an increase of </w:t>
      </w:r>
      <w:r>
        <w:rPr>
          <w:dstrike/>
        </w:rPr>
        <w:t>N</w:t>
      </w:r>
      <w:r>
        <w:t xml:space="preserve">3,014,309.55 million or 12.36% in Naira terms. The increase in the Total Public Debt stock was due to new Domestic Borrowings, as well as additional disbursements on existing Bilateral and Multilateral External Loans.  </w:t>
      </w:r>
    </w:p>
    <w:p w:rsidR="001C682A" w:rsidRDefault="00B03C38">
      <w:pPr>
        <w:ind w:left="236" w:right="816"/>
      </w:pPr>
      <w:r>
        <w:lastRenderedPageBreak/>
        <w:t xml:space="preserve">The Domestic Debt as a percentage of the Total Public Debt dropped from 68.18% as at December 31, 2018 to 67.07% as at December 31, 2019, while the share of External Debt rose from 31.82% as at December 31, 2018 to 32.93% as at December 31, 2019. The FGN’s Domestic Debt as at December 31, 2019 was </w:t>
      </w:r>
      <w:r>
        <w:rPr>
          <w:dstrike/>
        </w:rPr>
        <w:t>N</w:t>
      </w:r>
      <w:r>
        <w:t xml:space="preserve">14,272,644.79 million or 52.09% of the Total Public Debt, while the Domestic Debt of the States &amp; FCT was </w:t>
      </w:r>
      <w:r>
        <w:rPr>
          <w:dstrike/>
        </w:rPr>
        <w:t>N</w:t>
      </w:r>
      <w:r>
        <w:t xml:space="preserve">4,106,314.86 million or </w:t>
      </w:r>
    </w:p>
    <w:p w:rsidR="001C682A" w:rsidRDefault="00B03C38">
      <w:pPr>
        <w:ind w:left="236" w:right="816"/>
      </w:pPr>
      <w:r>
        <w:t xml:space="preserve">14.99% of the Total Public Debt as at December 31, 2019. Whereas, the External Debt of the </w:t>
      </w:r>
    </w:p>
    <w:p w:rsidR="001C682A" w:rsidRDefault="00B03C38">
      <w:pPr>
        <w:spacing w:after="177"/>
        <w:ind w:left="236" w:right="816"/>
      </w:pPr>
      <w:r>
        <w:t xml:space="preserve">FGN was </w:t>
      </w:r>
      <w:r>
        <w:rPr>
          <w:dstrike/>
        </w:rPr>
        <w:t>N</w:t>
      </w:r>
      <w:r>
        <w:t xml:space="preserve">7,534,274.02 million (US$23,111.27 million) or 27.50 percent of the Total Public Debt, the External Debt of the States &amp; FCT constituted </w:t>
      </w:r>
      <w:r>
        <w:rPr>
          <w:dstrike/>
        </w:rPr>
        <w:t>N</w:t>
      </w:r>
      <w:r>
        <w:t xml:space="preserve">1,488,147.62 million (US$4,564.87 million) or 5.43% of Total Public Debt as at December 31, 2019.  </w:t>
      </w:r>
    </w:p>
    <w:p w:rsidR="001C682A" w:rsidRDefault="00B03C38">
      <w:pPr>
        <w:spacing w:after="154"/>
        <w:ind w:left="236" w:right="816"/>
      </w:pPr>
      <w:r>
        <w:t xml:space="preserve">Nigeria’s Total Public Debt as a percentage of GDP remained sustainable at a ratio of 19.00% as at December 31, 2019. This ratio is within the Country Specific Debt Limit of 40 percent and below the maximum threshold of 55% recommended by the IMF and World Bank for countries in Nigeria’s peer group, as well as the West African Monetary Zone Convergence threshold of 70%.    </w:t>
      </w:r>
    </w:p>
    <w:p w:rsidR="001C682A" w:rsidRDefault="00B03C38">
      <w:pPr>
        <w:spacing w:after="0" w:line="259" w:lineRule="auto"/>
        <w:ind w:left="218" w:firstLine="0"/>
        <w:jc w:val="left"/>
      </w:pPr>
      <w:r>
        <w:rPr>
          <w:b/>
          <w:sz w:val="20"/>
        </w:rPr>
        <w:t xml:space="preserve"> </w:t>
      </w:r>
    </w:p>
    <w:p w:rsidR="001C682A" w:rsidRDefault="00B03C38">
      <w:pPr>
        <w:spacing w:after="75" w:line="259" w:lineRule="auto"/>
        <w:ind w:left="218" w:firstLine="0"/>
        <w:jc w:val="left"/>
      </w:pPr>
      <w:r>
        <w:rPr>
          <w:b/>
        </w:rPr>
        <w:t xml:space="preserve"> </w:t>
      </w:r>
    </w:p>
    <w:p w:rsidR="001C682A" w:rsidRDefault="00B03C38">
      <w:pPr>
        <w:spacing w:after="0" w:line="259" w:lineRule="auto"/>
        <w:ind w:left="213"/>
        <w:jc w:val="left"/>
      </w:pPr>
      <w:r>
        <w:rPr>
          <w:b/>
        </w:rPr>
        <w:t>Figure 8.1: Trend in Nigeria’s Total Public Debt (2015 - 2019)</w:t>
      </w:r>
      <w:r>
        <w:rPr>
          <w:b/>
          <w:sz w:val="28"/>
        </w:rPr>
        <w:t xml:space="preserve"> </w:t>
      </w:r>
    </w:p>
    <w:p w:rsidR="001C682A" w:rsidRDefault="00B03C38">
      <w:pPr>
        <w:spacing w:after="0" w:line="259" w:lineRule="auto"/>
        <w:ind w:left="218" w:firstLine="0"/>
        <w:jc w:val="left"/>
      </w:pPr>
      <w:r>
        <w:rPr>
          <w:rFonts w:ascii="Calibri" w:eastAsia="Calibri" w:hAnsi="Calibri" w:cs="Calibri"/>
          <w:noProof/>
        </w:rPr>
        <mc:AlternateContent>
          <mc:Choice Requires="wpg">
            <w:drawing>
              <wp:inline distT="0" distB="0" distL="0" distR="0">
                <wp:extent cx="6043472" cy="2662461"/>
                <wp:effectExtent l="0" t="0" r="0" b="0"/>
                <wp:docPr id="332742" name="Group 332742"/>
                <wp:cNvGraphicFramePr/>
                <a:graphic xmlns:a="http://schemas.openxmlformats.org/drawingml/2006/main">
                  <a:graphicData uri="http://schemas.microsoft.com/office/word/2010/wordprocessingGroup">
                    <wpg:wgp>
                      <wpg:cNvGrpSpPr/>
                      <wpg:grpSpPr>
                        <a:xfrm>
                          <a:off x="0" y="0"/>
                          <a:ext cx="6043472" cy="2662461"/>
                          <a:chOff x="0" y="0"/>
                          <a:chExt cx="6043472" cy="2662461"/>
                        </a:xfrm>
                      </wpg:grpSpPr>
                      <wps:wsp>
                        <wps:cNvPr id="37978" name="Rectangle 37978"/>
                        <wps:cNvSpPr/>
                        <wps:spPr>
                          <a:xfrm>
                            <a:off x="6001258" y="2514600"/>
                            <a:ext cx="56145" cy="196655"/>
                          </a:xfrm>
                          <a:prstGeom prst="rect">
                            <a:avLst/>
                          </a:prstGeom>
                          <a:ln>
                            <a:noFill/>
                          </a:ln>
                        </wps:spPr>
                        <wps:txbx>
                          <w:txbxContent>
                            <w:p w:rsidR="002010BA" w:rsidRDefault="002010BA">
                              <w:pPr>
                                <w:spacing w:after="160" w:line="259" w:lineRule="auto"/>
                                <w:ind w:left="0" w:firstLine="0"/>
                                <w:jc w:val="left"/>
                              </w:pPr>
                              <w:r>
                                <w:rPr>
                                  <w:rFonts w:ascii="Century Gothic" w:eastAsia="Century Gothic" w:hAnsi="Century Gothic" w:cs="Century Gothic"/>
                                  <w:sz w:val="24"/>
                                </w:rPr>
                                <w:t xml:space="preserve"> </w:t>
                              </w:r>
                            </w:p>
                          </w:txbxContent>
                        </wps:txbx>
                        <wps:bodyPr horzOverflow="overflow" vert="horz" lIns="0" tIns="0" rIns="0" bIns="0" rtlCol="0">
                          <a:noAutofit/>
                        </wps:bodyPr>
                      </wps:wsp>
                      <wps:wsp>
                        <wps:cNvPr id="38433" name="Shape 38433"/>
                        <wps:cNvSpPr/>
                        <wps:spPr>
                          <a:xfrm>
                            <a:off x="669036" y="1849501"/>
                            <a:ext cx="4936998" cy="0"/>
                          </a:xfrm>
                          <a:custGeom>
                            <a:avLst/>
                            <a:gdLst/>
                            <a:ahLst/>
                            <a:cxnLst/>
                            <a:rect l="0" t="0" r="0" b="0"/>
                            <a:pathLst>
                              <a:path w="4936998">
                                <a:moveTo>
                                  <a:pt x="0" y="0"/>
                                </a:moveTo>
                                <a:lnTo>
                                  <a:pt x="4936998" y="0"/>
                                </a:lnTo>
                              </a:path>
                            </a:pathLst>
                          </a:custGeom>
                          <a:ln w="12700" cap="flat">
                            <a:round/>
                          </a:ln>
                        </wps:spPr>
                        <wps:style>
                          <a:lnRef idx="1">
                            <a:srgbClr val="D9D9D9"/>
                          </a:lnRef>
                          <a:fillRef idx="0">
                            <a:srgbClr val="000000">
                              <a:alpha val="0"/>
                            </a:srgbClr>
                          </a:fillRef>
                          <a:effectRef idx="0">
                            <a:scrgbClr r="0" g="0" b="0"/>
                          </a:effectRef>
                          <a:fontRef idx="none"/>
                        </wps:style>
                        <wps:bodyPr/>
                      </wps:wsp>
                      <wps:wsp>
                        <wps:cNvPr id="38434" name="Shape 38434"/>
                        <wps:cNvSpPr/>
                        <wps:spPr>
                          <a:xfrm>
                            <a:off x="669036" y="1332865"/>
                            <a:ext cx="4936998" cy="0"/>
                          </a:xfrm>
                          <a:custGeom>
                            <a:avLst/>
                            <a:gdLst/>
                            <a:ahLst/>
                            <a:cxnLst/>
                            <a:rect l="0" t="0" r="0" b="0"/>
                            <a:pathLst>
                              <a:path w="4936998">
                                <a:moveTo>
                                  <a:pt x="0" y="0"/>
                                </a:moveTo>
                                <a:lnTo>
                                  <a:pt x="4936998" y="0"/>
                                </a:lnTo>
                              </a:path>
                            </a:pathLst>
                          </a:custGeom>
                          <a:ln w="12700" cap="flat">
                            <a:round/>
                          </a:ln>
                        </wps:spPr>
                        <wps:style>
                          <a:lnRef idx="1">
                            <a:srgbClr val="D9D9D9"/>
                          </a:lnRef>
                          <a:fillRef idx="0">
                            <a:srgbClr val="000000">
                              <a:alpha val="0"/>
                            </a:srgbClr>
                          </a:fillRef>
                          <a:effectRef idx="0">
                            <a:scrgbClr r="0" g="0" b="0"/>
                          </a:effectRef>
                          <a:fontRef idx="none"/>
                        </wps:style>
                        <wps:bodyPr/>
                      </wps:wsp>
                      <wps:wsp>
                        <wps:cNvPr id="38435" name="Shape 38435"/>
                        <wps:cNvSpPr/>
                        <wps:spPr>
                          <a:xfrm>
                            <a:off x="669036" y="816229"/>
                            <a:ext cx="4936998" cy="0"/>
                          </a:xfrm>
                          <a:custGeom>
                            <a:avLst/>
                            <a:gdLst/>
                            <a:ahLst/>
                            <a:cxnLst/>
                            <a:rect l="0" t="0" r="0" b="0"/>
                            <a:pathLst>
                              <a:path w="4936998">
                                <a:moveTo>
                                  <a:pt x="0" y="0"/>
                                </a:moveTo>
                                <a:lnTo>
                                  <a:pt x="4936998" y="0"/>
                                </a:lnTo>
                              </a:path>
                            </a:pathLst>
                          </a:custGeom>
                          <a:ln w="12700" cap="flat">
                            <a:round/>
                          </a:ln>
                        </wps:spPr>
                        <wps:style>
                          <a:lnRef idx="1">
                            <a:srgbClr val="D9D9D9"/>
                          </a:lnRef>
                          <a:fillRef idx="0">
                            <a:srgbClr val="000000">
                              <a:alpha val="0"/>
                            </a:srgbClr>
                          </a:fillRef>
                          <a:effectRef idx="0">
                            <a:scrgbClr r="0" g="0" b="0"/>
                          </a:effectRef>
                          <a:fontRef idx="none"/>
                        </wps:style>
                        <wps:bodyPr/>
                      </wps:wsp>
                      <wps:wsp>
                        <wps:cNvPr id="38436" name="Shape 38436"/>
                        <wps:cNvSpPr/>
                        <wps:spPr>
                          <a:xfrm>
                            <a:off x="669036" y="299847"/>
                            <a:ext cx="4936998" cy="0"/>
                          </a:xfrm>
                          <a:custGeom>
                            <a:avLst/>
                            <a:gdLst/>
                            <a:ahLst/>
                            <a:cxnLst/>
                            <a:rect l="0" t="0" r="0" b="0"/>
                            <a:pathLst>
                              <a:path w="4936998">
                                <a:moveTo>
                                  <a:pt x="0" y="0"/>
                                </a:moveTo>
                                <a:lnTo>
                                  <a:pt x="4936998" y="0"/>
                                </a:lnTo>
                              </a:path>
                            </a:pathLst>
                          </a:custGeom>
                          <a:ln w="12700" cap="flat">
                            <a:round/>
                          </a:ln>
                        </wps:spPr>
                        <wps:style>
                          <a:lnRef idx="1">
                            <a:srgbClr val="D9D9D9"/>
                          </a:lnRef>
                          <a:fillRef idx="0">
                            <a:srgbClr val="000000">
                              <a:alpha val="0"/>
                            </a:srgbClr>
                          </a:fillRef>
                          <a:effectRef idx="0">
                            <a:scrgbClr r="0" g="0" b="0"/>
                          </a:effectRef>
                          <a:fontRef idx="none"/>
                        </wps:style>
                        <wps:bodyPr/>
                      </wps:wsp>
                      <wps:wsp>
                        <wps:cNvPr id="395775" name="Shape 395775"/>
                        <wps:cNvSpPr/>
                        <wps:spPr>
                          <a:xfrm>
                            <a:off x="844296" y="2062861"/>
                            <a:ext cx="158496" cy="303023"/>
                          </a:xfrm>
                          <a:custGeom>
                            <a:avLst/>
                            <a:gdLst/>
                            <a:ahLst/>
                            <a:cxnLst/>
                            <a:rect l="0" t="0" r="0" b="0"/>
                            <a:pathLst>
                              <a:path w="158496" h="303023">
                                <a:moveTo>
                                  <a:pt x="0" y="0"/>
                                </a:moveTo>
                                <a:lnTo>
                                  <a:pt x="158496" y="0"/>
                                </a:lnTo>
                                <a:lnTo>
                                  <a:pt x="158496" y="303023"/>
                                </a:lnTo>
                                <a:lnTo>
                                  <a:pt x="0" y="303023"/>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95776" name="Shape 395776"/>
                        <wps:cNvSpPr/>
                        <wps:spPr>
                          <a:xfrm>
                            <a:off x="1830324" y="2041525"/>
                            <a:ext cx="160020" cy="324359"/>
                          </a:xfrm>
                          <a:custGeom>
                            <a:avLst/>
                            <a:gdLst/>
                            <a:ahLst/>
                            <a:cxnLst/>
                            <a:rect l="0" t="0" r="0" b="0"/>
                            <a:pathLst>
                              <a:path w="160020" h="324359">
                                <a:moveTo>
                                  <a:pt x="0" y="0"/>
                                </a:moveTo>
                                <a:lnTo>
                                  <a:pt x="160020" y="0"/>
                                </a:lnTo>
                                <a:lnTo>
                                  <a:pt x="160020" y="324359"/>
                                </a:lnTo>
                                <a:lnTo>
                                  <a:pt x="0" y="324359"/>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95777" name="Shape 395777"/>
                        <wps:cNvSpPr/>
                        <wps:spPr>
                          <a:xfrm>
                            <a:off x="2817876" y="1755013"/>
                            <a:ext cx="160020" cy="610870"/>
                          </a:xfrm>
                          <a:custGeom>
                            <a:avLst/>
                            <a:gdLst/>
                            <a:ahLst/>
                            <a:cxnLst/>
                            <a:rect l="0" t="0" r="0" b="0"/>
                            <a:pathLst>
                              <a:path w="160020" h="610870">
                                <a:moveTo>
                                  <a:pt x="0" y="0"/>
                                </a:moveTo>
                                <a:lnTo>
                                  <a:pt x="160020" y="0"/>
                                </a:lnTo>
                                <a:lnTo>
                                  <a:pt x="160020" y="610870"/>
                                </a:lnTo>
                                <a:lnTo>
                                  <a:pt x="0" y="61087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95778" name="Shape 395778"/>
                        <wps:cNvSpPr/>
                        <wps:spPr>
                          <a:xfrm>
                            <a:off x="3805428" y="1495934"/>
                            <a:ext cx="160020" cy="869950"/>
                          </a:xfrm>
                          <a:custGeom>
                            <a:avLst/>
                            <a:gdLst/>
                            <a:ahLst/>
                            <a:cxnLst/>
                            <a:rect l="0" t="0" r="0" b="0"/>
                            <a:pathLst>
                              <a:path w="160020" h="869950">
                                <a:moveTo>
                                  <a:pt x="0" y="0"/>
                                </a:moveTo>
                                <a:lnTo>
                                  <a:pt x="160020" y="0"/>
                                </a:lnTo>
                                <a:lnTo>
                                  <a:pt x="160020" y="869950"/>
                                </a:lnTo>
                                <a:lnTo>
                                  <a:pt x="0" y="869950"/>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95779" name="Shape 395779"/>
                        <wps:cNvSpPr/>
                        <wps:spPr>
                          <a:xfrm>
                            <a:off x="4792980" y="1410589"/>
                            <a:ext cx="160020" cy="955294"/>
                          </a:xfrm>
                          <a:custGeom>
                            <a:avLst/>
                            <a:gdLst/>
                            <a:ahLst/>
                            <a:cxnLst/>
                            <a:rect l="0" t="0" r="0" b="0"/>
                            <a:pathLst>
                              <a:path w="160020" h="955294">
                                <a:moveTo>
                                  <a:pt x="0" y="0"/>
                                </a:moveTo>
                                <a:lnTo>
                                  <a:pt x="160020" y="0"/>
                                </a:lnTo>
                                <a:lnTo>
                                  <a:pt x="160020" y="955294"/>
                                </a:lnTo>
                                <a:lnTo>
                                  <a:pt x="0" y="955294"/>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95780" name="Shape 395780"/>
                        <wps:cNvSpPr/>
                        <wps:spPr>
                          <a:xfrm>
                            <a:off x="1002792" y="2225929"/>
                            <a:ext cx="160020" cy="139954"/>
                          </a:xfrm>
                          <a:custGeom>
                            <a:avLst/>
                            <a:gdLst/>
                            <a:ahLst/>
                            <a:cxnLst/>
                            <a:rect l="0" t="0" r="0" b="0"/>
                            <a:pathLst>
                              <a:path w="160020" h="139954">
                                <a:moveTo>
                                  <a:pt x="0" y="0"/>
                                </a:moveTo>
                                <a:lnTo>
                                  <a:pt x="160020" y="0"/>
                                </a:lnTo>
                                <a:lnTo>
                                  <a:pt x="160020" y="139954"/>
                                </a:lnTo>
                                <a:lnTo>
                                  <a:pt x="0" y="139954"/>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95781" name="Shape 395781"/>
                        <wps:cNvSpPr/>
                        <wps:spPr>
                          <a:xfrm>
                            <a:off x="1990344" y="2218309"/>
                            <a:ext cx="160020" cy="147575"/>
                          </a:xfrm>
                          <a:custGeom>
                            <a:avLst/>
                            <a:gdLst/>
                            <a:ahLst/>
                            <a:cxnLst/>
                            <a:rect l="0" t="0" r="0" b="0"/>
                            <a:pathLst>
                              <a:path w="160020" h="147575">
                                <a:moveTo>
                                  <a:pt x="0" y="0"/>
                                </a:moveTo>
                                <a:lnTo>
                                  <a:pt x="160020" y="0"/>
                                </a:lnTo>
                                <a:lnTo>
                                  <a:pt x="160020" y="147575"/>
                                </a:lnTo>
                                <a:lnTo>
                                  <a:pt x="0" y="147575"/>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95782" name="Shape 395782"/>
                        <wps:cNvSpPr/>
                        <wps:spPr>
                          <a:xfrm>
                            <a:off x="2977896" y="2195449"/>
                            <a:ext cx="160020" cy="170435"/>
                          </a:xfrm>
                          <a:custGeom>
                            <a:avLst/>
                            <a:gdLst/>
                            <a:ahLst/>
                            <a:cxnLst/>
                            <a:rect l="0" t="0" r="0" b="0"/>
                            <a:pathLst>
                              <a:path w="160020" h="170435">
                                <a:moveTo>
                                  <a:pt x="0" y="0"/>
                                </a:moveTo>
                                <a:lnTo>
                                  <a:pt x="160020" y="0"/>
                                </a:lnTo>
                                <a:lnTo>
                                  <a:pt x="160020" y="170435"/>
                                </a:lnTo>
                                <a:lnTo>
                                  <a:pt x="0" y="170435"/>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95783" name="Shape 395783"/>
                        <wps:cNvSpPr/>
                        <wps:spPr>
                          <a:xfrm>
                            <a:off x="3965448" y="2190877"/>
                            <a:ext cx="160020" cy="175006"/>
                          </a:xfrm>
                          <a:custGeom>
                            <a:avLst/>
                            <a:gdLst/>
                            <a:ahLst/>
                            <a:cxnLst/>
                            <a:rect l="0" t="0" r="0" b="0"/>
                            <a:pathLst>
                              <a:path w="160020" h="175006">
                                <a:moveTo>
                                  <a:pt x="0" y="0"/>
                                </a:moveTo>
                                <a:lnTo>
                                  <a:pt x="160020" y="0"/>
                                </a:lnTo>
                                <a:lnTo>
                                  <a:pt x="160020" y="175006"/>
                                </a:lnTo>
                                <a:lnTo>
                                  <a:pt x="0" y="17500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95784" name="Shape 395784"/>
                        <wps:cNvSpPr/>
                        <wps:spPr>
                          <a:xfrm>
                            <a:off x="4953000" y="2177161"/>
                            <a:ext cx="160020" cy="188723"/>
                          </a:xfrm>
                          <a:custGeom>
                            <a:avLst/>
                            <a:gdLst/>
                            <a:ahLst/>
                            <a:cxnLst/>
                            <a:rect l="0" t="0" r="0" b="0"/>
                            <a:pathLst>
                              <a:path w="160020" h="188723">
                                <a:moveTo>
                                  <a:pt x="0" y="0"/>
                                </a:moveTo>
                                <a:lnTo>
                                  <a:pt x="160020" y="0"/>
                                </a:lnTo>
                                <a:lnTo>
                                  <a:pt x="160020" y="188723"/>
                                </a:lnTo>
                                <a:lnTo>
                                  <a:pt x="0" y="188723"/>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95785" name="Shape 395785"/>
                        <wps:cNvSpPr/>
                        <wps:spPr>
                          <a:xfrm>
                            <a:off x="2150364" y="868045"/>
                            <a:ext cx="158496" cy="1497838"/>
                          </a:xfrm>
                          <a:custGeom>
                            <a:avLst/>
                            <a:gdLst/>
                            <a:ahLst/>
                            <a:cxnLst/>
                            <a:rect l="0" t="0" r="0" b="0"/>
                            <a:pathLst>
                              <a:path w="158496" h="1497838">
                                <a:moveTo>
                                  <a:pt x="0" y="0"/>
                                </a:moveTo>
                                <a:lnTo>
                                  <a:pt x="158496" y="0"/>
                                </a:lnTo>
                                <a:lnTo>
                                  <a:pt x="158496" y="1497838"/>
                                </a:lnTo>
                                <a:lnTo>
                                  <a:pt x="0" y="149783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95786" name="Shape 395786"/>
                        <wps:cNvSpPr/>
                        <wps:spPr>
                          <a:xfrm>
                            <a:off x="3137916" y="665353"/>
                            <a:ext cx="158496" cy="1700530"/>
                          </a:xfrm>
                          <a:custGeom>
                            <a:avLst/>
                            <a:gdLst/>
                            <a:ahLst/>
                            <a:cxnLst/>
                            <a:rect l="0" t="0" r="0" b="0"/>
                            <a:pathLst>
                              <a:path w="158496" h="1700530">
                                <a:moveTo>
                                  <a:pt x="0" y="0"/>
                                </a:moveTo>
                                <a:lnTo>
                                  <a:pt x="158496" y="0"/>
                                </a:lnTo>
                                <a:lnTo>
                                  <a:pt x="158496" y="1700530"/>
                                </a:lnTo>
                                <a:lnTo>
                                  <a:pt x="0" y="170053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95787" name="Shape 395787"/>
                        <wps:cNvSpPr/>
                        <wps:spPr>
                          <a:xfrm>
                            <a:off x="4125468" y="647065"/>
                            <a:ext cx="158496" cy="1718818"/>
                          </a:xfrm>
                          <a:custGeom>
                            <a:avLst/>
                            <a:gdLst/>
                            <a:ahLst/>
                            <a:cxnLst/>
                            <a:rect l="0" t="0" r="0" b="0"/>
                            <a:pathLst>
                              <a:path w="158496" h="1718818">
                                <a:moveTo>
                                  <a:pt x="0" y="0"/>
                                </a:moveTo>
                                <a:lnTo>
                                  <a:pt x="158496" y="0"/>
                                </a:lnTo>
                                <a:lnTo>
                                  <a:pt x="158496" y="1718818"/>
                                </a:lnTo>
                                <a:lnTo>
                                  <a:pt x="0" y="171881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95788" name="Shape 395788"/>
                        <wps:cNvSpPr/>
                        <wps:spPr>
                          <a:xfrm>
                            <a:off x="5113020" y="557149"/>
                            <a:ext cx="158496" cy="1808735"/>
                          </a:xfrm>
                          <a:custGeom>
                            <a:avLst/>
                            <a:gdLst/>
                            <a:ahLst/>
                            <a:cxnLst/>
                            <a:rect l="0" t="0" r="0" b="0"/>
                            <a:pathLst>
                              <a:path w="158496" h="1808735">
                                <a:moveTo>
                                  <a:pt x="0" y="0"/>
                                </a:moveTo>
                                <a:lnTo>
                                  <a:pt x="158496" y="0"/>
                                </a:lnTo>
                                <a:lnTo>
                                  <a:pt x="158496" y="1808735"/>
                                </a:lnTo>
                                <a:lnTo>
                                  <a:pt x="0" y="1808735"/>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95789" name="Shape 395789"/>
                        <wps:cNvSpPr/>
                        <wps:spPr>
                          <a:xfrm>
                            <a:off x="1162812" y="512953"/>
                            <a:ext cx="160020" cy="1852930"/>
                          </a:xfrm>
                          <a:custGeom>
                            <a:avLst/>
                            <a:gdLst/>
                            <a:ahLst/>
                            <a:cxnLst/>
                            <a:rect l="0" t="0" r="0" b="0"/>
                            <a:pathLst>
                              <a:path w="160020" h="1852930">
                                <a:moveTo>
                                  <a:pt x="0" y="0"/>
                                </a:moveTo>
                                <a:lnTo>
                                  <a:pt x="160020" y="0"/>
                                </a:lnTo>
                                <a:lnTo>
                                  <a:pt x="160020" y="1852930"/>
                                </a:lnTo>
                                <a:lnTo>
                                  <a:pt x="0" y="185293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95790" name="Shape 395790"/>
                        <wps:cNvSpPr/>
                        <wps:spPr>
                          <a:xfrm>
                            <a:off x="2308860" y="1963801"/>
                            <a:ext cx="160020" cy="402082"/>
                          </a:xfrm>
                          <a:custGeom>
                            <a:avLst/>
                            <a:gdLst/>
                            <a:ahLst/>
                            <a:cxnLst/>
                            <a:rect l="0" t="0" r="0" b="0"/>
                            <a:pathLst>
                              <a:path w="160020" h="402082">
                                <a:moveTo>
                                  <a:pt x="0" y="0"/>
                                </a:moveTo>
                                <a:lnTo>
                                  <a:pt x="160020" y="0"/>
                                </a:lnTo>
                                <a:lnTo>
                                  <a:pt x="160020" y="402082"/>
                                </a:lnTo>
                                <a:lnTo>
                                  <a:pt x="0" y="402082"/>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395791" name="Shape 395791"/>
                        <wps:cNvSpPr/>
                        <wps:spPr>
                          <a:xfrm>
                            <a:off x="1322832" y="1959229"/>
                            <a:ext cx="158496" cy="406654"/>
                          </a:xfrm>
                          <a:custGeom>
                            <a:avLst/>
                            <a:gdLst/>
                            <a:ahLst/>
                            <a:cxnLst/>
                            <a:rect l="0" t="0" r="0" b="0"/>
                            <a:pathLst>
                              <a:path w="158496" h="406654">
                                <a:moveTo>
                                  <a:pt x="0" y="0"/>
                                </a:moveTo>
                                <a:lnTo>
                                  <a:pt x="158496" y="0"/>
                                </a:lnTo>
                                <a:lnTo>
                                  <a:pt x="158496" y="406654"/>
                                </a:lnTo>
                                <a:lnTo>
                                  <a:pt x="0" y="406654"/>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395792" name="Shape 395792"/>
                        <wps:cNvSpPr/>
                        <wps:spPr>
                          <a:xfrm>
                            <a:off x="3296412" y="1913509"/>
                            <a:ext cx="160020" cy="452375"/>
                          </a:xfrm>
                          <a:custGeom>
                            <a:avLst/>
                            <a:gdLst/>
                            <a:ahLst/>
                            <a:cxnLst/>
                            <a:rect l="0" t="0" r="0" b="0"/>
                            <a:pathLst>
                              <a:path w="160020" h="452375">
                                <a:moveTo>
                                  <a:pt x="0" y="0"/>
                                </a:moveTo>
                                <a:lnTo>
                                  <a:pt x="160020" y="0"/>
                                </a:lnTo>
                                <a:lnTo>
                                  <a:pt x="160020" y="452375"/>
                                </a:lnTo>
                                <a:lnTo>
                                  <a:pt x="0" y="452375"/>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395793" name="Shape 395793"/>
                        <wps:cNvSpPr/>
                        <wps:spPr>
                          <a:xfrm>
                            <a:off x="4283964" y="1846453"/>
                            <a:ext cx="160020" cy="519430"/>
                          </a:xfrm>
                          <a:custGeom>
                            <a:avLst/>
                            <a:gdLst/>
                            <a:ahLst/>
                            <a:cxnLst/>
                            <a:rect l="0" t="0" r="0" b="0"/>
                            <a:pathLst>
                              <a:path w="160020" h="519430">
                                <a:moveTo>
                                  <a:pt x="0" y="0"/>
                                </a:moveTo>
                                <a:lnTo>
                                  <a:pt x="160020" y="0"/>
                                </a:lnTo>
                                <a:lnTo>
                                  <a:pt x="160020" y="519430"/>
                                </a:lnTo>
                                <a:lnTo>
                                  <a:pt x="0" y="519430"/>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395794" name="Shape 395794"/>
                        <wps:cNvSpPr/>
                        <wps:spPr>
                          <a:xfrm>
                            <a:off x="5271516" y="1844929"/>
                            <a:ext cx="160020" cy="520954"/>
                          </a:xfrm>
                          <a:custGeom>
                            <a:avLst/>
                            <a:gdLst/>
                            <a:ahLst/>
                            <a:cxnLst/>
                            <a:rect l="0" t="0" r="0" b="0"/>
                            <a:pathLst>
                              <a:path w="160020" h="520954">
                                <a:moveTo>
                                  <a:pt x="0" y="0"/>
                                </a:moveTo>
                                <a:lnTo>
                                  <a:pt x="160020" y="0"/>
                                </a:lnTo>
                                <a:lnTo>
                                  <a:pt x="160020" y="520954"/>
                                </a:lnTo>
                                <a:lnTo>
                                  <a:pt x="0" y="520954"/>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38457" name="Shape 38457"/>
                        <wps:cNvSpPr/>
                        <wps:spPr>
                          <a:xfrm>
                            <a:off x="669036" y="2365884"/>
                            <a:ext cx="4936998" cy="0"/>
                          </a:xfrm>
                          <a:custGeom>
                            <a:avLst/>
                            <a:gdLst/>
                            <a:ahLst/>
                            <a:cxnLst/>
                            <a:rect l="0" t="0" r="0" b="0"/>
                            <a:pathLst>
                              <a:path w="4936998">
                                <a:moveTo>
                                  <a:pt x="0" y="0"/>
                                </a:moveTo>
                                <a:lnTo>
                                  <a:pt x="4936998" y="0"/>
                                </a:lnTo>
                              </a:path>
                            </a:pathLst>
                          </a:custGeom>
                          <a:ln w="12700" cap="flat">
                            <a:round/>
                          </a:ln>
                        </wps:spPr>
                        <wps:style>
                          <a:lnRef idx="1">
                            <a:srgbClr val="D9D9D9"/>
                          </a:lnRef>
                          <a:fillRef idx="0">
                            <a:srgbClr val="000000">
                              <a:alpha val="0"/>
                            </a:srgbClr>
                          </a:fillRef>
                          <a:effectRef idx="0">
                            <a:scrgbClr r="0" g="0" b="0"/>
                          </a:effectRef>
                          <a:fontRef idx="none"/>
                        </wps:style>
                        <wps:bodyPr/>
                      </wps:wsp>
                      <wps:wsp>
                        <wps:cNvPr id="38458" name="Shape 38458"/>
                        <wps:cNvSpPr/>
                        <wps:spPr>
                          <a:xfrm>
                            <a:off x="1162685" y="788289"/>
                            <a:ext cx="3949573" cy="501650"/>
                          </a:xfrm>
                          <a:custGeom>
                            <a:avLst/>
                            <a:gdLst/>
                            <a:ahLst/>
                            <a:cxnLst/>
                            <a:rect l="0" t="0" r="0" b="0"/>
                            <a:pathLst>
                              <a:path w="3949573" h="501650">
                                <a:moveTo>
                                  <a:pt x="0" y="501650"/>
                                </a:moveTo>
                                <a:lnTo>
                                  <a:pt x="987679" y="233680"/>
                                </a:lnTo>
                                <a:lnTo>
                                  <a:pt x="1975231" y="73660"/>
                                </a:lnTo>
                                <a:lnTo>
                                  <a:pt x="2962783" y="0"/>
                                </a:lnTo>
                                <a:lnTo>
                                  <a:pt x="3949573" y="8128"/>
                                </a:lnTo>
                              </a:path>
                            </a:pathLst>
                          </a:custGeom>
                          <a:ln w="25400" cap="flat">
                            <a:round/>
                          </a:ln>
                        </wps:spPr>
                        <wps:style>
                          <a:lnRef idx="1">
                            <a:srgbClr val="33CCCC"/>
                          </a:lnRef>
                          <a:fillRef idx="0">
                            <a:srgbClr val="000000">
                              <a:alpha val="0"/>
                            </a:srgbClr>
                          </a:fillRef>
                          <a:effectRef idx="0">
                            <a:scrgbClr r="0" g="0" b="0"/>
                          </a:effectRef>
                          <a:fontRef idx="none"/>
                        </wps:style>
                        <wps:bodyPr/>
                      </wps:wsp>
                      <wps:wsp>
                        <wps:cNvPr id="38459" name="Shape 38459"/>
                        <wps:cNvSpPr/>
                        <wps:spPr>
                          <a:xfrm>
                            <a:off x="1142238" y="1270254"/>
                            <a:ext cx="36576" cy="36576"/>
                          </a:xfrm>
                          <a:custGeom>
                            <a:avLst/>
                            <a:gdLst/>
                            <a:ahLst/>
                            <a:cxnLst/>
                            <a:rect l="0" t="0" r="0" b="0"/>
                            <a:pathLst>
                              <a:path w="36576" h="36576">
                                <a:moveTo>
                                  <a:pt x="18288" y="0"/>
                                </a:moveTo>
                                <a:cubicBezTo>
                                  <a:pt x="28448" y="0"/>
                                  <a:pt x="36576" y="8255"/>
                                  <a:pt x="36576" y="18288"/>
                                </a:cubicBezTo>
                                <a:cubicBezTo>
                                  <a:pt x="36576" y="28448"/>
                                  <a:pt x="28448" y="36576"/>
                                  <a:pt x="18288" y="36576"/>
                                </a:cubicBezTo>
                                <a:cubicBezTo>
                                  <a:pt x="8128" y="36576"/>
                                  <a:pt x="0" y="28448"/>
                                  <a:pt x="0" y="18288"/>
                                </a:cubicBezTo>
                                <a:cubicBezTo>
                                  <a:pt x="0" y="8255"/>
                                  <a:pt x="8128" y="0"/>
                                  <a:pt x="18288" y="0"/>
                                </a:cubicBezTo>
                                <a:close/>
                              </a:path>
                            </a:pathLst>
                          </a:custGeom>
                          <a:ln w="0" cap="flat">
                            <a:round/>
                          </a:ln>
                        </wps:spPr>
                        <wps:style>
                          <a:lnRef idx="0">
                            <a:srgbClr val="000000">
                              <a:alpha val="0"/>
                            </a:srgbClr>
                          </a:lnRef>
                          <a:fillRef idx="1">
                            <a:srgbClr val="33CCCC"/>
                          </a:fillRef>
                          <a:effectRef idx="0">
                            <a:scrgbClr r="0" g="0" b="0"/>
                          </a:effectRef>
                          <a:fontRef idx="none"/>
                        </wps:style>
                        <wps:bodyPr/>
                      </wps:wsp>
                      <wps:wsp>
                        <wps:cNvPr id="38460" name="Shape 38460"/>
                        <wps:cNvSpPr/>
                        <wps:spPr>
                          <a:xfrm>
                            <a:off x="1142238" y="1270254"/>
                            <a:ext cx="36576" cy="36576"/>
                          </a:xfrm>
                          <a:custGeom>
                            <a:avLst/>
                            <a:gdLst/>
                            <a:ahLst/>
                            <a:cxnLst/>
                            <a:rect l="0" t="0" r="0" b="0"/>
                            <a:pathLst>
                              <a:path w="36576" h="36576">
                                <a:moveTo>
                                  <a:pt x="36576" y="18288"/>
                                </a:moveTo>
                                <a:cubicBezTo>
                                  <a:pt x="36576" y="28448"/>
                                  <a:pt x="28448" y="36576"/>
                                  <a:pt x="18288" y="36576"/>
                                </a:cubicBezTo>
                                <a:cubicBezTo>
                                  <a:pt x="8128" y="36576"/>
                                  <a:pt x="0" y="28448"/>
                                  <a:pt x="0" y="18288"/>
                                </a:cubicBezTo>
                                <a:cubicBezTo>
                                  <a:pt x="0" y="8255"/>
                                  <a:pt x="8128" y="0"/>
                                  <a:pt x="18288" y="0"/>
                                </a:cubicBezTo>
                                <a:cubicBezTo>
                                  <a:pt x="28448" y="0"/>
                                  <a:pt x="36576" y="8255"/>
                                  <a:pt x="36576" y="18288"/>
                                </a:cubicBezTo>
                                <a:close/>
                              </a:path>
                            </a:pathLst>
                          </a:custGeom>
                          <a:ln w="25400" cap="flat">
                            <a:round/>
                          </a:ln>
                        </wps:spPr>
                        <wps:style>
                          <a:lnRef idx="1">
                            <a:srgbClr val="33CCCC"/>
                          </a:lnRef>
                          <a:fillRef idx="0">
                            <a:srgbClr val="000000">
                              <a:alpha val="0"/>
                            </a:srgbClr>
                          </a:fillRef>
                          <a:effectRef idx="0">
                            <a:scrgbClr r="0" g="0" b="0"/>
                          </a:effectRef>
                          <a:fontRef idx="none"/>
                        </wps:style>
                        <wps:bodyPr/>
                      </wps:wsp>
                      <wps:wsp>
                        <wps:cNvPr id="38461" name="Shape 38461"/>
                        <wps:cNvSpPr/>
                        <wps:spPr>
                          <a:xfrm>
                            <a:off x="2129790" y="1002030"/>
                            <a:ext cx="36576" cy="36576"/>
                          </a:xfrm>
                          <a:custGeom>
                            <a:avLst/>
                            <a:gdLst/>
                            <a:ahLst/>
                            <a:cxnLst/>
                            <a:rect l="0" t="0" r="0" b="0"/>
                            <a:pathLst>
                              <a:path w="36576" h="36576">
                                <a:moveTo>
                                  <a:pt x="18288" y="0"/>
                                </a:moveTo>
                                <a:cubicBezTo>
                                  <a:pt x="28448" y="0"/>
                                  <a:pt x="36576" y="8255"/>
                                  <a:pt x="36576" y="18288"/>
                                </a:cubicBezTo>
                                <a:cubicBezTo>
                                  <a:pt x="36576" y="28448"/>
                                  <a:pt x="28448" y="36576"/>
                                  <a:pt x="18288" y="36576"/>
                                </a:cubicBezTo>
                                <a:cubicBezTo>
                                  <a:pt x="8128" y="36576"/>
                                  <a:pt x="0" y="28448"/>
                                  <a:pt x="0" y="18288"/>
                                </a:cubicBezTo>
                                <a:cubicBezTo>
                                  <a:pt x="0" y="8255"/>
                                  <a:pt x="8128" y="0"/>
                                  <a:pt x="18288" y="0"/>
                                </a:cubicBezTo>
                                <a:close/>
                              </a:path>
                            </a:pathLst>
                          </a:custGeom>
                          <a:ln w="0" cap="flat">
                            <a:round/>
                          </a:ln>
                        </wps:spPr>
                        <wps:style>
                          <a:lnRef idx="0">
                            <a:srgbClr val="000000">
                              <a:alpha val="0"/>
                            </a:srgbClr>
                          </a:lnRef>
                          <a:fillRef idx="1">
                            <a:srgbClr val="33CCCC"/>
                          </a:fillRef>
                          <a:effectRef idx="0">
                            <a:scrgbClr r="0" g="0" b="0"/>
                          </a:effectRef>
                          <a:fontRef idx="none"/>
                        </wps:style>
                        <wps:bodyPr/>
                      </wps:wsp>
                      <wps:wsp>
                        <wps:cNvPr id="38462" name="Shape 38462"/>
                        <wps:cNvSpPr/>
                        <wps:spPr>
                          <a:xfrm>
                            <a:off x="2129790" y="1002030"/>
                            <a:ext cx="36576" cy="36576"/>
                          </a:xfrm>
                          <a:custGeom>
                            <a:avLst/>
                            <a:gdLst/>
                            <a:ahLst/>
                            <a:cxnLst/>
                            <a:rect l="0" t="0" r="0" b="0"/>
                            <a:pathLst>
                              <a:path w="36576" h="36576">
                                <a:moveTo>
                                  <a:pt x="36576" y="18288"/>
                                </a:moveTo>
                                <a:cubicBezTo>
                                  <a:pt x="36576" y="28448"/>
                                  <a:pt x="28448" y="36576"/>
                                  <a:pt x="18288" y="36576"/>
                                </a:cubicBezTo>
                                <a:cubicBezTo>
                                  <a:pt x="8128" y="36576"/>
                                  <a:pt x="0" y="28448"/>
                                  <a:pt x="0" y="18288"/>
                                </a:cubicBezTo>
                                <a:cubicBezTo>
                                  <a:pt x="0" y="8255"/>
                                  <a:pt x="8128" y="0"/>
                                  <a:pt x="18288" y="0"/>
                                </a:cubicBezTo>
                                <a:cubicBezTo>
                                  <a:pt x="28448" y="0"/>
                                  <a:pt x="36576" y="8255"/>
                                  <a:pt x="36576" y="18288"/>
                                </a:cubicBezTo>
                                <a:close/>
                              </a:path>
                            </a:pathLst>
                          </a:custGeom>
                          <a:ln w="25400" cap="flat">
                            <a:round/>
                          </a:ln>
                        </wps:spPr>
                        <wps:style>
                          <a:lnRef idx="1">
                            <a:srgbClr val="33CCCC"/>
                          </a:lnRef>
                          <a:fillRef idx="0">
                            <a:srgbClr val="000000">
                              <a:alpha val="0"/>
                            </a:srgbClr>
                          </a:fillRef>
                          <a:effectRef idx="0">
                            <a:scrgbClr r="0" g="0" b="0"/>
                          </a:effectRef>
                          <a:fontRef idx="none"/>
                        </wps:style>
                        <wps:bodyPr/>
                      </wps:wsp>
                      <wps:wsp>
                        <wps:cNvPr id="38463" name="Shape 38463"/>
                        <wps:cNvSpPr/>
                        <wps:spPr>
                          <a:xfrm>
                            <a:off x="3117342" y="842010"/>
                            <a:ext cx="36576" cy="36576"/>
                          </a:xfrm>
                          <a:custGeom>
                            <a:avLst/>
                            <a:gdLst/>
                            <a:ahLst/>
                            <a:cxnLst/>
                            <a:rect l="0" t="0" r="0" b="0"/>
                            <a:pathLst>
                              <a:path w="36576" h="36576">
                                <a:moveTo>
                                  <a:pt x="18288" y="0"/>
                                </a:moveTo>
                                <a:cubicBezTo>
                                  <a:pt x="28448" y="0"/>
                                  <a:pt x="36576" y="8255"/>
                                  <a:pt x="36576" y="18288"/>
                                </a:cubicBezTo>
                                <a:cubicBezTo>
                                  <a:pt x="36576" y="28449"/>
                                  <a:pt x="28448" y="36576"/>
                                  <a:pt x="18288" y="36576"/>
                                </a:cubicBezTo>
                                <a:cubicBezTo>
                                  <a:pt x="8128" y="36576"/>
                                  <a:pt x="0" y="28449"/>
                                  <a:pt x="0" y="18288"/>
                                </a:cubicBezTo>
                                <a:cubicBezTo>
                                  <a:pt x="0" y="8255"/>
                                  <a:pt x="8128" y="0"/>
                                  <a:pt x="18288" y="0"/>
                                </a:cubicBezTo>
                                <a:close/>
                              </a:path>
                            </a:pathLst>
                          </a:custGeom>
                          <a:ln w="0" cap="flat">
                            <a:round/>
                          </a:ln>
                        </wps:spPr>
                        <wps:style>
                          <a:lnRef idx="0">
                            <a:srgbClr val="000000">
                              <a:alpha val="0"/>
                            </a:srgbClr>
                          </a:lnRef>
                          <a:fillRef idx="1">
                            <a:srgbClr val="33CCCC"/>
                          </a:fillRef>
                          <a:effectRef idx="0">
                            <a:scrgbClr r="0" g="0" b="0"/>
                          </a:effectRef>
                          <a:fontRef idx="none"/>
                        </wps:style>
                        <wps:bodyPr/>
                      </wps:wsp>
                      <wps:wsp>
                        <wps:cNvPr id="38464" name="Shape 38464"/>
                        <wps:cNvSpPr/>
                        <wps:spPr>
                          <a:xfrm>
                            <a:off x="3117342" y="842010"/>
                            <a:ext cx="36576" cy="36576"/>
                          </a:xfrm>
                          <a:custGeom>
                            <a:avLst/>
                            <a:gdLst/>
                            <a:ahLst/>
                            <a:cxnLst/>
                            <a:rect l="0" t="0" r="0" b="0"/>
                            <a:pathLst>
                              <a:path w="36576" h="36576">
                                <a:moveTo>
                                  <a:pt x="36576" y="18288"/>
                                </a:moveTo>
                                <a:cubicBezTo>
                                  <a:pt x="36576" y="28449"/>
                                  <a:pt x="28448" y="36576"/>
                                  <a:pt x="18288" y="36576"/>
                                </a:cubicBezTo>
                                <a:cubicBezTo>
                                  <a:pt x="8128" y="36576"/>
                                  <a:pt x="0" y="28449"/>
                                  <a:pt x="0" y="18288"/>
                                </a:cubicBezTo>
                                <a:cubicBezTo>
                                  <a:pt x="0" y="8255"/>
                                  <a:pt x="8128" y="0"/>
                                  <a:pt x="18288" y="0"/>
                                </a:cubicBezTo>
                                <a:cubicBezTo>
                                  <a:pt x="28448" y="0"/>
                                  <a:pt x="36576" y="8255"/>
                                  <a:pt x="36576" y="18288"/>
                                </a:cubicBezTo>
                                <a:close/>
                              </a:path>
                            </a:pathLst>
                          </a:custGeom>
                          <a:ln w="25400" cap="flat">
                            <a:round/>
                          </a:ln>
                        </wps:spPr>
                        <wps:style>
                          <a:lnRef idx="1">
                            <a:srgbClr val="33CCCC"/>
                          </a:lnRef>
                          <a:fillRef idx="0">
                            <a:srgbClr val="000000">
                              <a:alpha val="0"/>
                            </a:srgbClr>
                          </a:fillRef>
                          <a:effectRef idx="0">
                            <a:scrgbClr r="0" g="0" b="0"/>
                          </a:effectRef>
                          <a:fontRef idx="none"/>
                        </wps:style>
                        <wps:bodyPr/>
                      </wps:wsp>
                      <wps:wsp>
                        <wps:cNvPr id="38465" name="Shape 38465"/>
                        <wps:cNvSpPr/>
                        <wps:spPr>
                          <a:xfrm>
                            <a:off x="4104894" y="768859"/>
                            <a:ext cx="36576" cy="36575"/>
                          </a:xfrm>
                          <a:custGeom>
                            <a:avLst/>
                            <a:gdLst/>
                            <a:ahLst/>
                            <a:cxnLst/>
                            <a:rect l="0" t="0" r="0" b="0"/>
                            <a:pathLst>
                              <a:path w="36576" h="36575">
                                <a:moveTo>
                                  <a:pt x="18288" y="0"/>
                                </a:moveTo>
                                <a:cubicBezTo>
                                  <a:pt x="28448" y="0"/>
                                  <a:pt x="36576" y="8255"/>
                                  <a:pt x="36576" y="18288"/>
                                </a:cubicBezTo>
                                <a:cubicBezTo>
                                  <a:pt x="36576" y="28448"/>
                                  <a:pt x="28448" y="36575"/>
                                  <a:pt x="18288" y="36575"/>
                                </a:cubicBezTo>
                                <a:cubicBezTo>
                                  <a:pt x="8128" y="36575"/>
                                  <a:pt x="0" y="28448"/>
                                  <a:pt x="0" y="18288"/>
                                </a:cubicBezTo>
                                <a:cubicBezTo>
                                  <a:pt x="0" y="8255"/>
                                  <a:pt x="8128" y="0"/>
                                  <a:pt x="18288" y="0"/>
                                </a:cubicBezTo>
                                <a:close/>
                              </a:path>
                            </a:pathLst>
                          </a:custGeom>
                          <a:ln w="0" cap="flat">
                            <a:round/>
                          </a:ln>
                        </wps:spPr>
                        <wps:style>
                          <a:lnRef idx="0">
                            <a:srgbClr val="000000">
                              <a:alpha val="0"/>
                            </a:srgbClr>
                          </a:lnRef>
                          <a:fillRef idx="1">
                            <a:srgbClr val="33CCCC"/>
                          </a:fillRef>
                          <a:effectRef idx="0">
                            <a:scrgbClr r="0" g="0" b="0"/>
                          </a:effectRef>
                          <a:fontRef idx="none"/>
                        </wps:style>
                        <wps:bodyPr/>
                      </wps:wsp>
                      <wps:wsp>
                        <wps:cNvPr id="38466" name="Shape 38466"/>
                        <wps:cNvSpPr/>
                        <wps:spPr>
                          <a:xfrm>
                            <a:off x="4104894" y="768859"/>
                            <a:ext cx="36576" cy="36575"/>
                          </a:xfrm>
                          <a:custGeom>
                            <a:avLst/>
                            <a:gdLst/>
                            <a:ahLst/>
                            <a:cxnLst/>
                            <a:rect l="0" t="0" r="0" b="0"/>
                            <a:pathLst>
                              <a:path w="36576" h="36575">
                                <a:moveTo>
                                  <a:pt x="36576" y="18288"/>
                                </a:moveTo>
                                <a:cubicBezTo>
                                  <a:pt x="36576" y="28448"/>
                                  <a:pt x="28448" y="36575"/>
                                  <a:pt x="18288" y="36575"/>
                                </a:cubicBezTo>
                                <a:cubicBezTo>
                                  <a:pt x="8128" y="36575"/>
                                  <a:pt x="0" y="28448"/>
                                  <a:pt x="0" y="18288"/>
                                </a:cubicBezTo>
                                <a:cubicBezTo>
                                  <a:pt x="0" y="8255"/>
                                  <a:pt x="8128" y="0"/>
                                  <a:pt x="18288" y="0"/>
                                </a:cubicBezTo>
                                <a:cubicBezTo>
                                  <a:pt x="28448" y="0"/>
                                  <a:pt x="36576" y="8255"/>
                                  <a:pt x="36576" y="18288"/>
                                </a:cubicBezTo>
                                <a:close/>
                              </a:path>
                            </a:pathLst>
                          </a:custGeom>
                          <a:ln w="25400" cap="flat">
                            <a:round/>
                          </a:ln>
                        </wps:spPr>
                        <wps:style>
                          <a:lnRef idx="1">
                            <a:srgbClr val="33CCCC"/>
                          </a:lnRef>
                          <a:fillRef idx="0">
                            <a:srgbClr val="000000">
                              <a:alpha val="0"/>
                            </a:srgbClr>
                          </a:fillRef>
                          <a:effectRef idx="0">
                            <a:scrgbClr r="0" g="0" b="0"/>
                          </a:effectRef>
                          <a:fontRef idx="none"/>
                        </wps:style>
                        <wps:bodyPr/>
                      </wps:wsp>
                      <wps:wsp>
                        <wps:cNvPr id="38467" name="Shape 38467"/>
                        <wps:cNvSpPr/>
                        <wps:spPr>
                          <a:xfrm>
                            <a:off x="5092446" y="776478"/>
                            <a:ext cx="36576" cy="36576"/>
                          </a:xfrm>
                          <a:custGeom>
                            <a:avLst/>
                            <a:gdLst/>
                            <a:ahLst/>
                            <a:cxnLst/>
                            <a:rect l="0" t="0" r="0" b="0"/>
                            <a:pathLst>
                              <a:path w="36576" h="36576">
                                <a:moveTo>
                                  <a:pt x="18288" y="0"/>
                                </a:moveTo>
                                <a:cubicBezTo>
                                  <a:pt x="28448" y="0"/>
                                  <a:pt x="36576" y="8255"/>
                                  <a:pt x="36576" y="18288"/>
                                </a:cubicBezTo>
                                <a:cubicBezTo>
                                  <a:pt x="36576" y="28448"/>
                                  <a:pt x="28448" y="36576"/>
                                  <a:pt x="18288" y="36576"/>
                                </a:cubicBezTo>
                                <a:cubicBezTo>
                                  <a:pt x="8128" y="36576"/>
                                  <a:pt x="0" y="28448"/>
                                  <a:pt x="0" y="18288"/>
                                </a:cubicBezTo>
                                <a:cubicBezTo>
                                  <a:pt x="0" y="8255"/>
                                  <a:pt x="8128" y="0"/>
                                  <a:pt x="18288" y="0"/>
                                </a:cubicBezTo>
                                <a:close/>
                              </a:path>
                            </a:pathLst>
                          </a:custGeom>
                          <a:ln w="0" cap="flat">
                            <a:round/>
                          </a:ln>
                        </wps:spPr>
                        <wps:style>
                          <a:lnRef idx="0">
                            <a:srgbClr val="000000">
                              <a:alpha val="0"/>
                            </a:srgbClr>
                          </a:lnRef>
                          <a:fillRef idx="1">
                            <a:srgbClr val="33CCCC"/>
                          </a:fillRef>
                          <a:effectRef idx="0">
                            <a:scrgbClr r="0" g="0" b="0"/>
                          </a:effectRef>
                          <a:fontRef idx="none"/>
                        </wps:style>
                        <wps:bodyPr/>
                      </wps:wsp>
                      <wps:wsp>
                        <wps:cNvPr id="38468" name="Shape 38468"/>
                        <wps:cNvSpPr/>
                        <wps:spPr>
                          <a:xfrm>
                            <a:off x="5092446" y="776478"/>
                            <a:ext cx="36576" cy="36576"/>
                          </a:xfrm>
                          <a:custGeom>
                            <a:avLst/>
                            <a:gdLst/>
                            <a:ahLst/>
                            <a:cxnLst/>
                            <a:rect l="0" t="0" r="0" b="0"/>
                            <a:pathLst>
                              <a:path w="36576" h="36576">
                                <a:moveTo>
                                  <a:pt x="36576" y="18288"/>
                                </a:moveTo>
                                <a:cubicBezTo>
                                  <a:pt x="36576" y="28448"/>
                                  <a:pt x="28448" y="36576"/>
                                  <a:pt x="18288" y="36576"/>
                                </a:cubicBezTo>
                                <a:cubicBezTo>
                                  <a:pt x="8128" y="36576"/>
                                  <a:pt x="0" y="28448"/>
                                  <a:pt x="0" y="18288"/>
                                </a:cubicBezTo>
                                <a:cubicBezTo>
                                  <a:pt x="0" y="8255"/>
                                  <a:pt x="8128" y="0"/>
                                  <a:pt x="18288" y="0"/>
                                </a:cubicBezTo>
                                <a:cubicBezTo>
                                  <a:pt x="28448" y="0"/>
                                  <a:pt x="36576" y="8255"/>
                                  <a:pt x="36576" y="18288"/>
                                </a:cubicBezTo>
                                <a:close/>
                              </a:path>
                            </a:pathLst>
                          </a:custGeom>
                          <a:ln w="25400" cap="flat">
                            <a:round/>
                          </a:ln>
                        </wps:spPr>
                        <wps:style>
                          <a:lnRef idx="1">
                            <a:srgbClr val="33CCCC"/>
                          </a:lnRef>
                          <a:fillRef idx="0">
                            <a:srgbClr val="000000">
                              <a:alpha val="0"/>
                            </a:srgbClr>
                          </a:fillRef>
                          <a:effectRef idx="0">
                            <a:scrgbClr r="0" g="0" b="0"/>
                          </a:effectRef>
                          <a:fontRef idx="none"/>
                        </wps:style>
                        <wps:bodyPr/>
                      </wps:wsp>
                      <wps:wsp>
                        <wps:cNvPr id="38469" name="Rectangle 38469"/>
                        <wps:cNvSpPr/>
                        <wps:spPr>
                          <a:xfrm>
                            <a:off x="5701538" y="2318258"/>
                            <a:ext cx="102260" cy="138324"/>
                          </a:xfrm>
                          <a:prstGeom prst="rect">
                            <a:avLst/>
                          </a:prstGeom>
                          <a:ln>
                            <a:noFill/>
                          </a:ln>
                        </wps:spPr>
                        <wps:txbx>
                          <w:txbxContent>
                            <w:p w:rsidR="002010BA" w:rsidRDefault="002010BA">
                              <w:pPr>
                                <w:spacing w:after="160" w:line="259" w:lineRule="auto"/>
                                <w:ind w:left="0" w:firstLine="0"/>
                                <w:jc w:val="left"/>
                              </w:pPr>
                              <w:r>
                                <w:rPr>
                                  <w:rFonts w:ascii="Calibri" w:eastAsia="Calibri" w:hAnsi="Calibri" w:cs="Calibri"/>
                                  <w:color w:val="333333"/>
                                  <w:sz w:val="16"/>
                                </w:rPr>
                                <w:t xml:space="preserve"> '-</w:t>
                              </w:r>
                            </w:p>
                          </w:txbxContent>
                        </wps:txbx>
                        <wps:bodyPr horzOverflow="overflow" vert="horz" lIns="0" tIns="0" rIns="0" bIns="0" rtlCol="0">
                          <a:noAutofit/>
                        </wps:bodyPr>
                      </wps:wsp>
                      <wps:wsp>
                        <wps:cNvPr id="38470" name="Rectangle 38470"/>
                        <wps:cNvSpPr/>
                        <wps:spPr>
                          <a:xfrm>
                            <a:off x="5701538" y="1904873"/>
                            <a:ext cx="271472" cy="138324"/>
                          </a:xfrm>
                          <a:prstGeom prst="rect">
                            <a:avLst/>
                          </a:prstGeom>
                          <a:ln>
                            <a:noFill/>
                          </a:ln>
                        </wps:spPr>
                        <wps:txbx>
                          <w:txbxContent>
                            <w:p w:rsidR="002010BA" w:rsidRDefault="002010BA">
                              <w:pPr>
                                <w:spacing w:after="160" w:line="259" w:lineRule="auto"/>
                                <w:ind w:left="0" w:firstLine="0"/>
                                <w:jc w:val="left"/>
                              </w:pPr>
                              <w:r>
                                <w:rPr>
                                  <w:rFonts w:ascii="Calibri" w:eastAsia="Calibri" w:hAnsi="Calibri" w:cs="Calibri"/>
                                  <w:color w:val="333333"/>
                                  <w:sz w:val="16"/>
                                </w:rPr>
                                <w:t xml:space="preserve"> 5.00</w:t>
                              </w:r>
                            </w:p>
                          </w:txbxContent>
                        </wps:txbx>
                        <wps:bodyPr horzOverflow="overflow" vert="horz" lIns="0" tIns="0" rIns="0" bIns="0" rtlCol="0">
                          <a:noAutofit/>
                        </wps:bodyPr>
                      </wps:wsp>
                      <wps:wsp>
                        <wps:cNvPr id="38471" name="Rectangle 38471"/>
                        <wps:cNvSpPr/>
                        <wps:spPr>
                          <a:xfrm>
                            <a:off x="5701538" y="1491615"/>
                            <a:ext cx="338423" cy="138324"/>
                          </a:xfrm>
                          <a:prstGeom prst="rect">
                            <a:avLst/>
                          </a:prstGeom>
                          <a:ln>
                            <a:noFill/>
                          </a:ln>
                        </wps:spPr>
                        <wps:txbx>
                          <w:txbxContent>
                            <w:p w:rsidR="002010BA" w:rsidRDefault="002010BA">
                              <w:pPr>
                                <w:spacing w:after="160" w:line="259" w:lineRule="auto"/>
                                <w:ind w:left="0" w:firstLine="0"/>
                                <w:jc w:val="left"/>
                              </w:pPr>
                              <w:r>
                                <w:rPr>
                                  <w:rFonts w:ascii="Calibri" w:eastAsia="Calibri" w:hAnsi="Calibri" w:cs="Calibri"/>
                                  <w:color w:val="333333"/>
                                  <w:sz w:val="16"/>
                                </w:rPr>
                                <w:t xml:space="preserve"> 10.00</w:t>
                              </w:r>
                            </w:p>
                          </w:txbxContent>
                        </wps:txbx>
                        <wps:bodyPr horzOverflow="overflow" vert="horz" lIns="0" tIns="0" rIns="0" bIns="0" rtlCol="0">
                          <a:noAutofit/>
                        </wps:bodyPr>
                      </wps:wsp>
                      <wps:wsp>
                        <wps:cNvPr id="38472" name="Rectangle 38472"/>
                        <wps:cNvSpPr/>
                        <wps:spPr>
                          <a:xfrm>
                            <a:off x="5701538" y="1078230"/>
                            <a:ext cx="338423" cy="138324"/>
                          </a:xfrm>
                          <a:prstGeom prst="rect">
                            <a:avLst/>
                          </a:prstGeom>
                          <a:ln>
                            <a:noFill/>
                          </a:ln>
                        </wps:spPr>
                        <wps:txbx>
                          <w:txbxContent>
                            <w:p w:rsidR="002010BA" w:rsidRDefault="002010BA">
                              <w:pPr>
                                <w:spacing w:after="160" w:line="259" w:lineRule="auto"/>
                                <w:ind w:left="0" w:firstLine="0"/>
                                <w:jc w:val="left"/>
                              </w:pPr>
                              <w:r>
                                <w:rPr>
                                  <w:rFonts w:ascii="Calibri" w:eastAsia="Calibri" w:hAnsi="Calibri" w:cs="Calibri"/>
                                  <w:color w:val="333333"/>
                                  <w:sz w:val="16"/>
                                </w:rPr>
                                <w:t xml:space="preserve"> 15.00</w:t>
                              </w:r>
                            </w:p>
                          </w:txbxContent>
                        </wps:txbx>
                        <wps:bodyPr horzOverflow="overflow" vert="horz" lIns="0" tIns="0" rIns="0" bIns="0" rtlCol="0">
                          <a:noAutofit/>
                        </wps:bodyPr>
                      </wps:wsp>
                      <wps:wsp>
                        <wps:cNvPr id="38473" name="Rectangle 38473"/>
                        <wps:cNvSpPr/>
                        <wps:spPr>
                          <a:xfrm>
                            <a:off x="5701538" y="665226"/>
                            <a:ext cx="338423" cy="138324"/>
                          </a:xfrm>
                          <a:prstGeom prst="rect">
                            <a:avLst/>
                          </a:prstGeom>
                          <a:ln>
                            <a:noFill/>
                          </a:ln>
                        </wps:spPr>
                        <wps:txbx>
                          <w:txbxContent>
                            <w:p w:rsidR="002010BA" w:rsidRDefault="002010BA">
                              <w:pPr>
                                <w:spacing w:after="160" w:line="259" w:lineRule="auto"/>
                                <w:ind w:left="0" w:firstLine="0"/>
                                <w:jc w:val="left"/>
                              </w:pPr>
                              <w:r>
                                <w:rPr>
                                  <w:rFonts w:ascii="Calibri" w:eastAsia="Calibri" w:hAnsi="Calibri" w:cs="Calibri"/>
                                  <w:color w:val="333333"/>
                                  <w:sz w:val="16"/>
                                </w:rPr>
                                <w:t xml:space="preserve"> 20.00</w:t>
                              </w:r>
                            </w:p>
                          </w:txbxContent>
                        </wps:txbx>
                        <wps:bodyPr horzOverflow="overflow" vert="horz" lIns="0" tIns="0" rIns="0" bIns="0" rtlCol="0">
                          <a:noAutofit/>
                        </wps:bodyPr>
                      </wps:wsp>
                      <wps:wsp>
                        <wps:cNvPr id="38474" name="Rectangle 38474"/>
                        <wps:cNvSpPr/>
                        <wps:spPr>
                          <a:xfrm>
                            <a:off x="5701538" y="251968"/>
                            <a:ext cx="338423" cy="138324"/>
                          </a:xfrm>
                          <a:prstGeom prst="rect">
                            <a:avLst/>
                          </a:prstGeom>
                          <a:ln>
                            <a:noFill/>
                          </a:ln>
                        </wps:spPr>
                        <wps:txbx>
                          <w:txbxContent>
                            <w:p w:rsidR="002010BA" w:rsidRDefault="002010BA">
                              <w:pPr>
                                <w:spacing w:after="160" w:line="259" w:lineRule="auto"/>
                                <w:ind w:left="0" w:firstLine="0"/>
                                <w:jc w:val="left"/>
                              </w:pPr>
                              <w:r>
                                <w:rPr>
                                  <w:rFonts w:ascii="Calibri" w:eastAsia="Calibri" w:hAnsi="Calibri" w:cs="Calibri"/>
                                  <w:color w:val="333333"/>
                                  <w:sz w:val="16"/>
                                </w:rPr>
                                <w:t xml:space="preserve"> 25.00</w:t>
                              </w:r>
                            </w:p>
                          </w:txbxContent>
                        </wps:txbx>
                        <wps:bodyPr horzOverflow="overflow" vert="horz" lIns="0" tIns="0" rIns="0" bIns="0" rtlCol="0">
                          <a:noAutofit/>
                        </wps:bodyPr>
                      </wps:wsp>
                      <wps:wsp>
                        <wps:cNvPr id="38475" name="Rectangle 38475"/>
                        <wps:cNvSpPr/>
                        <wps:spPr>
                          <a:xfrm>
                            <a:off x="394716" y="2318258"/>
                            <a:ext cx="239150" cy="138324"/>
                          </a:xfrm>
                          <a:prstGeom prst="rect">
                            <a:avLst/>
                          </a:prstGeom>
                          <a:ln>
                            <a:noFill/>
                          </a:ln>
                        </wps:spPr>
                        <wps:txbx>
                          <w:txbxContent>
                            <w:p w:rsidR="002010BA" w:rsidRDefault="002010BA">
                              <w:pPr>
                                <w:spacing w:after="160" w:line="259" w:lineRule="auto"/>
                                <w:ind w:left="0" w:firstLine="0"/>
                                <w:jc w:val="left"/>
                              </w:pPr>
                              <w:r>
                                <w:rPr>
                                  <w:rFonts w:ascii="Calibri" w:eastAsia="Calibri" w:hAnsi="Calibri" w:cs="Calibri"/>
                                  <w:color w:val="333333"/>
                                  <w:sz w:val="16"/>
                                </w:rPr>
                                <w:t>0.00</w:t>
                              </w:r>
                            </w:p>
                          </w:txbxContent>
                        </wps:txbx>
                        <wps:bodyPr horzOverflow="overflow" vert="horz" lIns="0" tIns="0" rIns="0" bIns="0" rtlCol="0">
                          <a:noAutofit/>
                        </wps:bodyPr>
                      </wps:wsp>
                      <wps:wsp>
                        <wps:cNvPr id="38476" name="Rectangle 38476"/>
                        <wps:cNvSpPr/>
                        <wps:spPr>
                          <a:xfrm>
                            <a:off x="163373" y="1801622"/>
                            <a:ext cx="547153" cy="138324"/>
                          </a:xfrm>
                          <a:prstGeom prst="rect">
                            <a:avLst/>
                          </a:prstGeom>
                          <a:ln>
                            <a:noFill/>
                          </a:ln>
                        </wps:spPr>
                        <wps:txbx>
                          <w:txbxContent>
                            <w:p w:rsidR="002010BA" w:rsidRDefault="002010BA">
                              <w:pPr>
                                <w:spacing w:after="160" w:line="259" w:lineRule="auto"/>
                                <w:ind w:left="0" w:firstLine="0"/>
                                <w:jc w:val="left"/>
                              </w:pPr>
                              <w:r>
                                <w:rPr>
                                  <w:rFonts w:ascii="Calibri" w:eastAsia="Calibri" w:hAnsi="Calibri" w:cs="Calibri"/>
                                  <w:color w:val="333333"/>
                                  <w:sz w:val="16"/>
                                </w:rPr>
                                <w:t>12,500.00</w:t>
                              </w:r>
                            </w:p>
                          </w:txbxContent>
                        </wps:txbx>
                        <wps:bodyPr horzOverflow="overflow" vert="horz" lIns="0" tIns="0" rIns="0" bIns="0" rtlCol="0">
                          <a:noAutofit/>
                        </wps:bodyPr>
                      </wps:wsp>
                      <wps:wsp>
                        <wps:cNvPr id="38477" name="Rectangle 38477"/>
                        <wps:cNvSpPr/>
                        <wps:spPr>
                          <a:xfrm>
                            <a:off x="163373" y="1284986"/>
                            <a:ext cx="547153" cy="138324"/>
                          </a:xfrm>
                          <a:prstGeom prst="rect">
                            <a:avLst/>
                          </a:prstGeom>
                          <a:ln>
                            <a:noFill/>
                          </a:ln>
                        </wps:spPr>
                        <wps:txbx>
                          <w:txbxContent>
                            <w:p w:rsidR="002010BA" w:rsidRDefault="002010BA">
                              <w:pPr>
                                <w:spacing w:after="160" w:line="259" w:lineRule="auto"/>
                                <w:ind w:left="0" w:firstLine="0"/>
                                <w:jc w:val="left"/>
                              </w:pPr>
                              <w:r>
                                <w:rPr>
                                  <w:rFonts w:ascii="Calibri" w:eastAsia="Calibri" w:hAnsi="Calibri" w:cs="Calibri"/>
                                  <w:color w:val="333333"/>
                                  <w:sz w:val="16"/>
                                </w:rPr>
                                <w:t>25,000.00</w:t>
                              </w:r>
                            </w:p>
                          </w:txbxContent>
                        </wps:txbx>
                        <wps:bodyPr horzOverflow="overflow" vert="horz" lIns="0" tIns="0" rIns="0" bIns="0" rtlCol="0">
                          <a:noAutofit/>
                        </wps:bodyPr>
                      </wps:wsp>
                      <wps:wsp>
                        <wps:cNvPr id="38478" name="Rectangle 38478"/>
                        <wps:cNvSpPr/>
                        <wps:spPr>
                          <a:xfrm>
                            <a:off x="163373" y="768604"/>
                            <a:ext cx="547153" cy="138324"/>
                          </a:xfrm>
                          <a:prstGeom prst="rect">
                            <a:avLst/>
                          </a:prstGeom>
                          <a:ln>
                            <a:noFill/>
                          </a:ln>
                        </wps:spPr>
                        <wps:txbx>
                          <w:txbxContent>
                            <w:p w:rsidR="002010BA" w:rsidRDefault="002010BA">
                              <w:pPr>
                                <w:spacing w:after="160" w:line="259" w:lineRule="auto"/>
                                <w:ind w:left="0" w:firstLine="0"/>
                                <w:jc w:val="left"/>
                              </w:pPr>
                              <w:r>
                                <w:rPr>
                                  <w:rFonts w:ascii="Calibri" w:eastAsia="Calibri" w:hAnsi="Calibri" w:cs="Calibri"/>
                                  <w:color w:val="333333"/>
                                  <w:sz w:val="16"/>
                                </w:rPr>
                                <w:t>37,500.00</w:t>
                              </w:r>
                            </w:p>
                          </w:txbxContent>
                        </wps:txbx>
                        <wps:bodyPr horzOverflow="overflow" vert="horz" lIns="0" tIns="0" rIns="0" bIns="0" rtlCol="0">
                          <a:noAutofit/>
                        </wps:bodyPr>
                      </wps:wsp>
                      <wps:wsp>
                        <wps:cNvPr id="38479" name="Rectangle 38479"/>
                        <wps:cNvSpPr/>
                        <wps:spPr>
                          <a:xfrm>
                            <a:off x="163373" y="251968"/>
                            <a:ext cx="547153" cy="138324"/>
                          </a:xfrm>
                          <a:prstGeom prst="rect">
                            <a:avLst/>
                          </a:prstGeom>
                          <a:ln>
                            <a:noFill/>
                          </a:ln>
                        </wps:spPr>
                        <wps:txbx>
                          <w:txbxContent>
                            <w:p w:rsidR="002010BA" w:rsidRDefault="002010BA">
                              <w:pPr>
                                <w:spacing w:after="160" w:line="259" w:lineRule="auto"/>
                                <w:ind w:left="0" w:firstLine="0"/>
                                <w:jc w:val="left"/>
                              </w:pPr>
                              <w:r>
                                <w:rPr>
                                  <w:rFonts w:ascii="Calibri" w:eastAsia="Calibri" w:hAnsi="Calibri" w:cs="Calibri"/>
                                  <w:color w:val="333333"/>
                                  <w:sz w:val="16"/>
                                </w:rPr>
                                <w:t>50,000.00</w:t>
                              </w:r>
                            </w:p>
                          </w:txbxContent>
                        </wps:txbx>
                        <wps:bodyPr horzOverflow="overflow" vert="horz" lIns="0" tIns="0" rIns="0" bIns="0" rtlCol="0">
                          <a:noAutofit/>
                        </wps:bodyPr>
                      </wps:wsp>
                      <wps:wsp>
                        <wps:cNvPr id="38480" name="Rectangle 38480"/>
                        <wps:cNvSpPr/>
                        <wps:spPr>
                          <a:xfrm>
                            <a:off x="1060069" y="2450211"/>
                            <a:ext cx="273509" cy="138324"/>
                          </a:xfrm>
                          <a:prstGeom prst="rect">
                            <a:avLst/>
                          </a:prstGeom>
                          <a:ln>
                            <a:noFill/>
                          </a:ln>
                        </wps:spPr>
                        <wps:txbx>
                          <w:txbxContent>
                            <w:p w:rsidR="002010BA" w:rsidRDefault="002010BA">
                              <w:pPr>
                                <w:spacing w:after="160" w:line="259" w:lineRule="auto"/>
                                <w:ind w:left="0" w:firstLine="0"/>
                                <w:jc w:val="left"/>
                              </w:pPr>
                              <w:r>
                                <w:rPr>
                                  <w:rFonts w:ascii="Calibri" w:eastAsia="Calibri" w:hAnsi="Calibri" w:cs="Calibri"/>
                                  <w:color w:val="333333"/>
                                  <w:sz w:val="16"/>
                                </w:rPr>
                                <w:t>2015</w:t>
                              </w:r>
                            </w:p>
                          </w:txbxContent>
                        </wps:txbx>
                        <wps:bodyPr horzOverflow="overflow" vert="horz" lIns="0" tIns="0" rIns="0" bIns="0" rtlCol="0">
                          <a:noAutofit/>
                        </wps:bodyPr>
                      </wps:wsp>
                      <wps:wsp>
                        <wps:cNvPr id="38481" name="Rectangle 38481"/>
                        <wps:cNvSpPr/>
                        <wps:spPr>
                          <a:xfrm>
                            <a:off x="2047621" y="2450211"/>
                            <a:ext cx="273509" cy="138324"/>
                          </a:xfrm>
                          <a:prstGeom prst="rect">
                            <a:avLst/>
                          </a:prstGeom>
                          <a:ln>
                            <a:noFill/>
                          </a:ln>
                        </wps:spPr>
                        <wps:txbx>
                          <w:txbxContent>
                            <w:p w:rsidR="002010BA" w:rsidRDefault="002010BA">
                              <w:pPr>
                                <w:spacing w:after="160" w:line="259" w:lineRule="auto"/>
                                <w:ind w:left="0" w:firstLine="0"/>
                                <w:jc w:val="left"/>
                              </w:pPr>
                              <w:r>
                                <w:rPr>
                                  <w:rFonts w:ascii="Calibri" w:eastAsia="Calibri" w:hAnsi="Calibri" w:cs="Calibri"/>
                                  <w:color w:val="333333"/>
                                  <w:sz w:val="16"/>
                                </w:rPr>
                                <w:t>2016</w:t>
                              </w:r>
                            </w:p>
                          </w:txbxContent>
                        </wps:txbx>
                        <wps:bodyPr horzOverflow="overflow" vert="horz" lIns="0" tIns="0" rIns="0" bIns="0" rtlCol="0">
                          <a:noAutofit/>
                        </wps:bodyPr>
                      </wps:wsp>
                      <wps:wsp>
                        <wps:cNvPr id="38482" name="Rectangle 38482"/>
                        <wps:cNvSpPr/>
                        <wps:spPr>
                          <a:xfrm>
                            <a:off x="3035173" y="2450211"/>
                            <a:ext cx="273509" cy="138324"/>
                          </a:xfrm>
                          <a:prstGeom prst="rect">
                            <a:avLst/>
                          </a:prstGeom>
                          <a:ln>
                            <a:noFill/>
                          </a:ln>
                        </wps:spPr>
                        <wps:txbx>
                          <w:txbxContent>
                            <w:p w:rsidR="002010BA" w:rsidRDefault="002010BA">
                              <w:pPr>
                                <w:spacing w:after="160" w:line="259" w:lineRule="auto"/>
                                <w:ind w:left="0" w:firstLine="0"/>
                                <w:jc w:val="left"/>
                              </w:pPr>
                              <w:r>
                                <w:rPr>
                                  <w:rFonts w:ascii="Calibri" w:eastAsia="Calibri" w:hAnsi="Calibri" w:cs="Calibri"/>
                                  <w:color w:val="333333"/>
                                  <w:sz w:val="16"/>
                                </w:rPr>
                                <w:t>2017</w:t>
                              </w:r>
                            </w:p>
                          </w:txbxContent>
                        </wps:txbx>
                        <wps:bodyPr horzOverflow="overflow" vert="horz" lIns="0" tIns="0" rIns="0" bIns="0" rtlCol="0">
                          <a:noAutofit/>
                        </wps:bodyPr>
                      </wps:wsp>
                      <wps:wsp>
                        <wps:cNvPr id="38483" name="Rectangle 38483"/>
                        <wps:cNvSpPr/>
                        <wps:spPr>
                          <a:xfrm>
                            <a:off x="4022725" y="2450211"/>
                            <a:ext cx="273509" cy="138324"/>
                          </a:xfrm>
                          <a:prstGeom prst="rect">
                            <a:avLst/>
                          </a:prstGeom>
                          <a:ln>
                            <a:noFill/>
                          </a:ln>
                        </wps:spPr>
                        <wps:txbx>
                          <w:txbxContent>
                            <w:p w:rsidR="002010BA" w:rsidRDefault="002010BA">
                              <w:pPr>
                                <w:spacing w:after="160" w:line="259" w:lineRule="auto"/>
                                <w:ind w:left="0" w:firstLine="0"/>
                                <w:jc w:val="left"/>
                              </w:pPr>
                              <w:r>
                                <w:rPr>
                                  <w:rFonts w:ascii="Calibri" w:eastAsia="Calibri" w:hAnsi="Calibri" w:cs="Calibri"/>
                                  <w:color w:val="333333"/>
                                  <w:sz w:val="16"/>
                                </w:rPr>
                                <w:t>2018</w:t>
                              </w:r>
                            </w:p>
                          </w:txbxContent>
                        </wps:txbx>
                        <wps:bodyPr horzOverflow="overflow" vert="horz" lIns="0" tIns="0" rIns="0" bIns="0" rtlCol="0">
                          <a:noAutofit/>
                        </wps:bodyPr>
                      </wps:wsp>
                      <wps:wsp>
                        <wps:cNvPr id="38484" name="Rectangle 38484"/>
                        <wps:cNvSpPr/>
                        <wps:spPr>
                          <a:xfrm>
                            <a:off x="5010658" y="2450211"/>
                            <a:ext cx="273509" cy="138324"/>
                          </a:xfrm>
                          <a:prstGeom prst="rect">
                            <a:avLst/>
                          </a:prstGeom>
                          <a:ln>
                            <a:noFill/>
                          </a:ln>
                        </wps:spPr>
                        <wps:txbx>
                          <w:txbxContent>
                            <w:p w:rsidR="002010BA" w:rsidRDefault="002010BA">
                              <w:pPr>
                                <w:spacing w:after="160" w:line="259" w:lineRule="auto"/>
                                <w:ind w:left="0" w:firstLine="0"/>
                                <w:jc w:val="left"/>
                              </w:pPr>
                              <w:r>
                                <w:rPr>
                                  <w:rFonts w:ascii="Calibri" w:eastAsia="Calibri" w:hAnsi="Calibri" w:cs="Calibri"/>
                                  <w:color w:val="333333"/>
                                  <w:sz w:val="16"/>
                                </w:rPr>
                                <w:t>2019</w:t>
                              </w:r>
                            </w:p>
                          </w:txbxContent>
                        </wps:txbx>
                        <wps:bodyPr horzOverflow="overflow" vert="horz" lIns="0" tIns="0" rIns="0" bIns="0" rtlCol="0">
                          <a:noAutofit/>
                        </wps:bodyPr>
                      </wps:wsp>
                      <wps:wsp>
                        <wps:cNvPr id="38485" name="Rectangle 38485"/>
                        <wps:cNvSpPr/>
                        <wps:spPr>
                          <a:xfrm rot="-5399999">
                            <a:off x="-247127" y="1177005"/>
                            <a:ext cx="709846" cy="138323"/>
                          </a:xfrm>
                          <a:prstGeom prst="rect">
                            <a:avLst/>
                          </a:prstGeom>
                          <a:ln>
                            <a:noFill/>
                          </a:ln>
                        </wps:spPr>
                        <wps:txbx>
                          <w:txbxContent>
                            <w:p w:rsidR="002010BA" w:rsidRDefault="002010BA">
                              <w:pPr>
                                <w:spacing w:after="160" w:line="259" w:lineRule="auto"/>
                                <w:ind w:left="0" w:firstLine="0"/>
                                <w:jc w:val="left"/>
                              </w:pPr>
                              <w:r>
                                <w:rPr>
                                  <w:rFonts w:ascii="Calibri" w:eastAsia="Calibri" w:hAnsi="Calibri" w:cs="Calibri"/>
                                  <w:color w:val="333333"/>
                                  <w:sz w:val="16"/>
                                </w:rPr>
                                <w:t>US$' Millions</w:t>
                              </w:r>
                            </w:p>
                          </w:txbxContent>
                        </wps:txbx>
                        <wps:bodyPr horzOverflow="overflow" vert="horz" lIns="0" tIns="0" rIns="0" bIns="0" rtlCol="0">
                          <a:noAutofit/>
                        </wps:bodyPr>
                      </wps:wsp>
                      <wps:wsp>
                        <wps:cNvPr id="395795" name="Shape 395795"/>
                        <wps:cNvSpPr/>
                        <wps:spPr>
                          <a:xfrm>
                            <a:off x="2047875" y="30935"/>
                            <a:ext cx="243840" cy="55807"/>
                          </a:xfrm>
                          <a:custGeom>
                            <a:avLst/>
                            <a:gdLst/>
                            <a:ahLst/>
                            <a:cxnLst/>
                            <a:rect l="0" t="0" r="0" b="0"/>
                            <a:pathLst>
                              <a:path w="243840" h="55807">
                                <a:moveTo>
                                  <a:pt x="0" y="0"/>
                                </a:moveTo>
                                <a:lnTo>
                                  <a:pt x="243840" y="0"/>
                                </a:lnTo>
                                <a:lnTo>
                                  <a:pt x="243840" y="55807"/>
                                </a:lnTo>
                                <a:lnTo>
                                  <a:pt x="0" y="55807"/>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8487" name="Rectangle 38487"/>
                        <wps:cNvSpPr/>
                        <wps:spPr>
                          <a:xfrm>
                            <a:off x="2318004" y="10922"/>
                            <a:ext cx="1340382" cy="138324"/>
                          </a:xfrm>
                          <a:prstGeom prst="rect">
                            <a:avLst/>
                          </a:prstGeom>
                          <a:ln>
                            <a:noFill/>
                          </a:ln>
                        </wps:spPr>
                        <wps:txbx>
                          <w:txbxContent>
                            <w:p w:rsidR="002010BA" w:rsidRDefault="002010BA">
                              <w:pPr>
                                <w:spacing w:after="160" w:line="259" w:lineRule="auto"/>
                                <w:ind w:left="0" w:firstLine="0"/>
                                <w:jc w:val="left"/>
                              </w:pPr>
                              <w:r>
                                <w:rPr>
                                  <w:rFonts w:ascii="Calibri" w:eastAsia="Calibri" w:hAnsi="Calibri" w:cs="Calibri"/>
                                  <w:color w:val="333333"/>
                                  <w:sz w:val="16"/>
                                </w:rPr>
                                <w:t>FGN External Debt Stock</w:t>
                              </w:r>
                            </w:p>
                          </w:txbxContent>
                        </wps:txbx>
                        <wps:bodyPr horzOverflow="overflow" vert="horz" lIns="0" tIns="0" rIns="0" bIns="0" rtlCol="0">
                          <a:noAutofit/>
                        </wps:bodyPr>
                      </wps:wsp>
                      <wps:wsp>
                        <wps:cNvPr id="395796" name="Shape 395796"/>
                        <wps:cNvSpPr/>
                        <wps:spPr>
                          <a:xfrm>
                            <a:off x="2047875" y="148537"/>
                            <a:ext cx="243840" cy="55807"/>
                          </a:xfrm>
                          <a:custGeom>
                            <a:avLst/>
                            <a:gdLst/>
                            <a:ahLst/>
                            <a:cxnLst/>
                            <a:rect l="0" t="0" r="0" b="0"/>
                            <a:pathLst>
                              <a:path w="243840" h="55807">
                                <a:moveTo>
                                  <a:pt x="0" y="0"/>
                                </a:moveTo>
                                <a:lnTo>
                                  <a:pt x="243840" y="0"/>
                                </a:lnTo>
                                <a:lnTo>
                                  <a:pt x="243840" y="55807"/>
                                </a:lnTo>
                                <a:lnTo>
                                  <a:pt x="0" y="5580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8489" name="Rectangle 38489"/>
                        <wps:cNvSpPr/>
                        <wps:spPr>
                          <a:xfrm>
                            <a:off x="2318004" y="128524"/>
                            <a:ext cx="1879115" cy="138324"/>
                          </a:xfrm>
                          <a:prstGeom prst="rect">
                            <a:avLst/>
                          </a:prstGeom>
                          <a:ln>
                            <a:noFill/>
                          </a:ln>
                        </wps:spPr>
                        <wps:txbx>
                          <w:txbxContent>
                            <w:p w:rsidR="002010BA" w:rsidRDefault="002010BA">
                              <w:pPr>
                                <w:spacing w:after="160" w:line="259" w:lineRule="auto"/>
                                <w:ind w:left="0" w:firstLine="0"/>
                                <w:jc w:val="left"/>
                              </w:pPr>
                              <w:r>
                                <w:rPr>
                                  <w:rFonts w:ascii="Calibri" w:eastAsia="Calibri" w:hAnsi="Calibri" w:cs="Calibri"/>
                                  <w:color w:val="333333"/>
                                  <w:sz w:val="16"/>
                                </w:rPr>
                                <w:t>States &amp; FCT's External Debt Stock</w:t>
                              </w:r>
                            </w:p>
                          </w:txbxContent>
                        </wps:txbx>
                        <wps:bodyPr horzOverflow="overflow" vert="horz" lIns="0" tIns="0" rIns="0" bIns="0" rtlCol="0">
                          <a:noAutofit/>
                        </wps:bodyPr>
                      </wps:wsp>
                      <wps:wsp>
                        <wps:cNvPr id="395797" name="Shape 395797"/>
                        <wps:cNvSpPr/>
                        <wps:spPr>
                          <a:xfrm>
                            <a:off x="2047875" y="266139"/>
                            <a:ext cx="243840" cy="55807"/>
                          </a:xfrm>
                          <a:custGeom>
                            <a:avLst/>
                            <a:gdLst/>
                            <a:ahLst/>
                            <a:cxnLst/>
                            <a:rect l="0" t="0" r="0" b="0"/>
                            <a:pathLst>
                              <a:path w="243840" h="55807">
                                <a:moveTo>
                                  <a:pt x="0" y="0"/>
                                </a:moveTo>
                                <a:lnTo>
                                  <a:pt x="243840" y="0"/>
                                </a:lnTo>
                                <a:lnTo>
                                  <a:pt x="243840" y="55807"/>
                                </a:lnTo>
                                <a:lnTo>
                                  <a:pt x="0" y="55807"/>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8491" name="Rectangle 38491"/>
                        <wps:cNvSpPr/>
                        <wps:spPr>
                          <a:xfrm>
                            <a:off x="2318004" y="246126"/>
                            <a:ext cx="1405296" cy="138324"/>
                          </a:xfrm>
                          <a:prstGeom prst="rect">
                            <a:avLst/>
                          </a:prstGeom>
                          <a:ln>
                            <a:noFill/>
                          </a:ln>
                        </wps:spPr>
                        <wps:txbx>
                          <w:txbxContent>
                            <w:p w:rsidR="002010BA" w:rsidRDefault="002010BA">
                              <w:pPr>
                                <w:spacing w:after="160" w:line="259" w:lineRule="auto"/>
                                <w:ind w:left="0" w:firstLine="0"/>
                                <w:jc w:val="left"/>
                              </w:pPr>
                              <w:r>
                                <w:rPr>
                                  <w:rFonts w:ascii="Calibri" w:eastAsia="Calibri" w:hAnsi="Calibri" w:cs="Calibri"/>
                                  <w:color w:val="333333"/>
                                  <w:sz w:val="16"/>
                                </w:rPr>
                                <w:t>FGN Domestic Debt Stock</w:t>
                              </w:r>
                            </w:p>
                          </w:txbxContent>
                        </wps:txbx>
                        <wps:bodyPr horzOverflow="overflow" vert="horz" lIns="0" tIns="0" rIns="0" bIns="0" rtlCol="0">
                          <a:noAutofit/>
                        </wps:bodyPr>
                      </wps:wsp>
                      <wps:wsp>
                        <wps:cNvPr id="395798" name="Shape 395798"/>
                        <wps:cNvSpPr/>
                        <wps:spPr>
                          <a:xfrm>
                            <a:off x="2047875" y="383867"/>
                            <a:ext cx="243840" cy="55807"/>
                          </a:xfrm>
                          <a:custGeom>
                            <a:avLst/>
                            <a:gdLst/>
                            <a:ahLst/>
                            <a:cxnLst/>
                            <a:rect l="0" t="0" r="0" b="0"/>
                            <a:pathLst>
                              <a:path w="243840" h="55807">
                                <a:moveTo>
                                  <a:pt x="0" y="0"/>
                                </a:moveTo>
                                <a:lnTo>
                                  <a:pt x="243840" y="0"/>
                                </a:lnTo>
                                <a:lnTo>
                                  <a:pt x="243840" y="55807"/>
                                </a:lnTo>
                                <a:lnTo>
                                  <a:pt x="0" y="55807"/>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38493" name="Rectangle 38493"/>
                        <wps:cNvSpPr/>
                        <wps:spPr>
                          <a:xfrm>
                            <a:off x="2318004" y="363855"/>
                            <a:ext cx="1944165" cy="138324"/>
                          </a:xfrm>
                          <a:prstGeom prst="rect">
                            <a:avLst/>
                          </a:prstGeom>
                          <a:ln>
                            <a:noFill/>
                          </a:ln>
                        </wps:spPr>
                        <wps:txbx>
                          <w:txbxContent>
                            <w:p w:rsidR="002010BA" w:rsidRDefault="002010BA">
                              <w:pPr>
                                <w:spacing w:after="160" w:line="259" w:lineRule="auto"/>
                                <w:ind w:left="0" w:firstLine="0"/>
                                <w:jc w:val="left"/>
                              </w:pPr>
                              <w:r>
                                <w:rPr>
                                  <w:rFonts w:ascii="Calibri" w:eastAsia="Calibri" w:hAnsi="Calibri" w:cs="Calibri"/>
                                  <w:color w:val="333333"/>
                                  <w:sz w:val="16"/>
                                </w:rPr>
                                <w:t>States &amp; FCT's Domestic Debt Stock</w:t>
                              </w:r>
                            </w:p>
                          </w:txbxContent>
                        </wps:txbx>
                        <wps:bodyPr horzOverflow="overflow" vert="horz" lIns="0" tIns="0" rIns="0" bIns="0" rtlCol="0">
                          <a:noAutofit/>
                        </wps:bodyPr>
                      </wps:wsp>
                      <wps:wsp>
                        <wps:cNvPr id="38494" name="Shape 38494"/>
                        <wps:cNvSpPr/>
                        <wps:spPr>
                          <a:xfrm>
                            <a:off x="2047875" y="529336"/>
                            <a:ext cx="243840" cy="0"/>
                          </a:xfrm>
                          <a:custGeom>
                            <a:avLst/>
                            <a:gdLst/>
                            <a:ahLst/>
                            <a:cxnLst/>
                            <a:rect l="0" t="0" r="0" b="0"/>
                            <a:pathLst>
                              <a:path w="243840">
                                <a:moveTo>
                                  <a:pt x="0" y="0"/>
                                </a:moveTo>
                                <a:lnTo>
                                  <a:pt x="243840" y="0"/>
                                </a:lnTo>
                              </a:path>
                            </a:pathLst>
                          </a:custGeom>
                          <a:ln w="25400" cap="flat">
                            <a:round/>
                          </a:ln>
                        </wps:spPr>
                        <wps:style>
                          <a:lnRef idx="1">
                            <a:srgbClr val="33CCCC"/>
                          </a:lnRef>
                          <a:fillRef idx="0">
                            <a:srgbClr val="000000">
                              <a:alpha val="0"/>
                            </a:srgbClr>
                          </a:fillRef>
                          <a:effectRef idx="0">
                            <a:scrgbClr r="0" g="0" b="0"/>
                          </a:effectRef>
                          <a:fontRef idx="none"/>
                        </wps:style>
                        <wps:bodyPr/>
                      </wps:wsp>
                      <wps:wsp>
                        <wps:cNvPr id="38495" name="Shape 38495"/>
                        <wps:cNvSpPr/>
                        <wps:spPr>
                          <a:xfrm>
                            <a:off x="2149602" y="509143"/>
                            <a:ext cx="36576" cy="36576"/>
                          </a:xfrm>
                          <a:custGeom>
                            <a:avLst/>
                            <a:gdLst/>
                            <a:ahLst/>
                            <a:cxnLst/>
                            <a:rect l="0" t="0" r="0" b="0"/>
                            <a:pathLst>
                              <a:path w="36576" h="36576">
                                <a:moveTo>
                                  <a:pt x="18288" y="0"/>
                                </a:moveTo>
                                <a:cubicBezTo>
                                  <a:pt x="28448" y="0"/>
                                  <a:pt x="36576" y="8128"/>
                                  <a:pt x="36576" y="18288"/>
                                </a:cubicBezTo>
                                <a:cubicBezTo>
                                  <a:pt x="36576" y="28448"/>
                                  <a:pt x="28448" y="36576"/>
                                  <a:pt x="18288" y="36576"/>
                                </a:cubicBezTo>
                                <a:cubicBezTo>
                                  <a:pt x="8128" y="36576"/>
                                  <a:pt x="0" y="28448"/>
                                  <a:pt x="0" y="18288"/>
                                </a:cubicBezTo>
                                <a:cubicBezTo>
                                  <a:pt x="0" y="8128"/>
                                  <a:pt x="8128" y="0"/>
                                  <a:pt x="18288" y="0"/>
                                </a:cubicBezTo>
                                <a:close/>
                              </a:path>
                            </a:pathLst>
                          </a:custGeom>
                          <a:ln w="0" cap="flat">
                            <a:round/>
                          </a:ln>
                        </wps:spPr>
                        <wps:style>
                          <a:lnRef idx="0">
                            <a:srgbClr val="000000">
                              <a:alpha val="0"/>
                            </a:srgbClr>
                          </a:lnRef>
                          <a:fillRef idx="1">
                            <a:srgbClr val="33CCCC"/>
                          </a:fillRef>
                          <a:effectRef idx="0">
                            <a:scrgbClr r="0" g="0" b="0"/>
                          </a:effectRef>
                          <a:fontRef idx="none"/>
                        </wps:style>
                        <wps:bodyPr/>
                      </wps:wsp>
                      <wps:wsp>
                        <wps:cNvPr id="38496" name="Shape 38496"/>
                        <wps:cNvSpPr/>
                        <wps:spPr>
                          <a:xfrm>
                            <a:off x="2149602" y="509143"/>
                            <a:ext cx="36576" cy="36576"/>
                          </a:xfrm>
                          <a:custGeom>
                            <a:avLst/>
                            <a:gdLst/>
                            <a:ahLst/>
                            <a:cxnLst/>
                            <a:rect l="0" t="0" r="0" b="0"/>
                            <a:pathLst>
                              <a:path w="36576" h="36576">
                                <a:moveTo>
                                  <a:pt x="36576" y="18288"/>
                                </a:moveTo>
                                <a:cubicBezTo>
                                  <a:pt x="36576" y="28448"/>
                                  <a:pt x="28448" y="36576"/>
                                  <a:pt x="18288" y="36576"/>
                                </a:cubicBezTo>
                                <a:cubicBezTo>
                                  <a:pt x="8128" y="36576"/>
                                  <a:pt x="0" y="28448"/>
                                  <a:pt x="0" y="18288"/>
                                </a:cubicBezTo>
                                <a:cubicBezTo>
                                  <a:pt x="0" y="8128"/>
                                  <a:pt x="8128" y="0"/>
                                  <a:pt x="18288" y="0"/>
                                </a:cubicBezTo>
                                <a:cubicBezTo>
                                  <a:pt x="28448" y="0"/>
                                  <a:pt x="36576" y="8128"/>
                                  <a:pt x="36576" y="18288"/>
                                </a:cubicBezTo>
                                <a:close/>
                              </a:path>
                            </a:pathLst>
                          </a:custGeom>
                          <a:ln w="25400" cap="flat">
                            <a:round/>
                          </a:ln>
                        </wps:spPr>
                        <wps:style>
                          <a:lnRef idx="1">
                            <a:srgbClr val="33CCCC"/>
                          </a:lnRef>
                          <a:fillRef idx="0">
                            <a:srgbClr val="000000">
                              <a:alpha val="0"/>
                            </a:srgbClr>
                          </a:fillRef>
                          <a:effectRef idx="0">
                            <a:scrgbClr r="0" g="0" b="0"/>
                          </a:effectRef>
                          <a:fontRef idx="none"/>
                        </wps:style>
                        <wps:bodyPr/>
                      </wps:wsp>
                      <wps:wsp>
                        <wps:cNvPr id="38497" name="Rectangle 38497"/>
                        <wps:cNvSpPr/>
                        <wps:spPr>
                          <a:xfrm>
                            <a:off x="2318004" y="481457"/>
                            <a:ext cx="953749" cy="138324"/>
                          </a:xfrm>
                          <a:prstGeom prst="rect">
                            <a:avLst/>
                          </a:prstGeom>
                          <a:ln>
                            <a:noFill/>
                          </a:ln>
                        </wps:spPr>
                        <wps:txbx>
                          <w:txbxContent>
                            <w:p w:rsidR="002010BA" w:rsidRDefault="002010BA">
                              <w:pPr>
                                <w:spacing w:after="160" w:line="259" w:lineRule="auto"/>
                                <w:ind w:left="0" w:firstLine="0"/>
                                <w:jc w:val="left"/>
                              </w:pPr>
                              <w:r>
                                <w:rPr>
                                  <w:rFonts w:ascii="Calibri" w:eastAsia="Calibri" w:hAnsi="Calibri" w:cs="Calibri"/>
                                  <w:color w:val="333333"/>
                                  <w:sz w:val="16"/>
                                </w:rPr>
                                <w:t>Debt as % of GDP</w:t>
                              </w:r>
                            </w:p>
                          </w:txbxContent>
                        </wps:txbx>
                        <wps:bodyPr horzOverflow="overflow" vert="horz" lIns="0" tIns="0" rIns="0" bIns="0" rtlCol="0">
                          <a:noAutofit/>
                        </wps:bodyPr>
                      </wps:wsp>
                      <wps:wsp>
                        <wps:cNvPr id="38498" name="Shape 38498"/>
                        <wps:cNvSpPr/>
                        <wps:spPr>
                          <a:xfrm>
                            <a:off x="0" y="0"/>
                            <a:ext cx="5996940" cy="2612390"/>
                          </a:xfrm>
                          <a:custGeom>
                            <a:avLst/>
                            <a:gdLst/>
                            <a:ahLst/>
                            <a:cxnLst/>
                            <a:rect l="0" t="0" r="0" b="0"/>
                            <a:pathLst>
                              <a:path w="5996940" h="2612390">
                                <a:moveTo>
                                  <a:pt x="0" y="2612390"/>
                                </a:moveTo>
                                <a:lnTo>
                                  <a:pt x="5996940" y="2612390"/>
                                </a:lnTo>
                                <a:lnTo>
                                  <a:pt x="5996940" y="0"/>
                                </a:lnTo>
                                <a:lnTo>
                                  <a:pt x="0" y="0"/>
                                </a:lnTo>
                                <a:close/>
                              </a:path>
                            </a:pathLst>
                          </a:custGeom>
                          <a:ln w="12700"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32742" o:spid="_x0000_s1031" style="width:475.85pt;height:209.65pt;mso-position-horizontal-relative:char;mso-position-vertical-relative:line" coordsize="60434,2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G5SBBIAANPUAAAOAAAAZHJzL2Uyb0RvYy54bWzsXetu20YW/r/AvgOh/405w7tRp8jGTVCg&#10;2BZt9wFoWbIMyKJA0rHTp99vLmc4Q9EOGdeSLDIBTIocci6H35lzmzM//vR4t/a+LMrqtthczNg7&#10;f+YtNvPi+nZzczH731+ffkhnXlXnm+t8XWwWF7Ovi2r20/t//+vHh+35gherYn29KD28ZFOdP2wv&#10;Zqu63p6fnVXz1eIur94V28UGN5dFeZfX+FnenF2X+QPefrc+474fnz0U5fW2LOaLqsLVS3Vz9l6+&#10;f7lczOvflstqUXvrixnaVsu/pfx7Jf6evf8xP78p8+3qdq6bkX9HK+7y2w0qNa+6zOvcuy9vd151&#10;dzsvi6pY1u/mxd1ZsVzezheyD+gN81u9+VwW91vZl5vzh5utGSYMbWucvvu18/9++b30bq8vZkHA&#10;k5DPvE1+BzrJqj19DYP0sL05R9nP5fbP7e+lvnCjfol+Py7LO3FEj7xHObxfzfAuHmtvjouxHwZh&#10;girmuMfjmIcxUwSYr0Clnefmq5+/8eQZVXwm2mea87DFx1Q141W9bLz+XOXbhSRDJcaAxivJEnzc&#10;arj+wIeWb27WCy+Ql+UAydJmuKrzCiPXMVax7zMe4VViVCIW4rcaFRq3KGZhpEaNZXEcReK26Xp+&#10;vi2r+vOiuPPEycWsRFvkt5h/+bWqVVEqIqpfb8TfTfHpdr1Wd8UVjCC1UJzVj1eP8rPgojJx5aq4&#10;/oqur4ry798A+OW6eLiYFfpsJngA6hZ3Z976lw2GXMCNTko6uaKTsl5/LCQoVWs+3NfF8lY2t6lN&#10;Nwu0VG14faKmYRAQUSXdvUBe0oMA8vcgaJz5QSzpydIwi3z9lRM9wyyIswwEFziQtLaIOb9XxBSj&#10;QgQEW7lWpMS1FZ3NHzd0Kkj+LIfb5rV4TrxUnHogHbVCXLsDHf8q5N26BUM0rbm73til6A3iw6Vu&#10;qBJ4SFQjv1JTNS7anVtvRCsYT/C5e/McvH+5ztWHC7a3uX7y06zqr+uFaOt688diiY8UrIXJD74q&#10;b64+rkvvS44P6zIT/zVUZFHxzBIfvXnK333Kl/8UfNbbVa7eRb3TFch+6TeJly7kRNN+7Vy3Rs02&#10;4NnoJ805GAvzkGxWsanN8xvMlLLdEpKqtw0mxLiIX/sFRbgLipA4w2BQYFpJY8nFMAyaxZuPaQLF&#10;BIrF8k2AApOymv6bmUJ+1QKeQ0GRsphzya4mTEwTxdudKCD3tDERf+9EwSElhYl4esLEhIk3ioks&#10;SpL2RKGu4bvuPVOkYcgzpVNwP4b41NIpWARNA/eF9BT4gc8DKUGSfux+Pa+qV1BLVqYhAr6NDrEd&#10;oGHQu3YUDCH826qIVdDpPZWio11574Ik/Q/Vbf4BveZFGkq30tOhKoWwynyU4jz0khHpNQKG7flK&#10;XRsCTZbiS+JQkPCVcj9kEW+pNgwWHS4+BoFNHgYRaaVkNLPV4tfFpm6JwKZqyAuwqd/1bWw2BZ3e&#10;Eybp6GDTHiYqQEe74IRNZQDRjOJ0bA4Ch0lLllTXhmCTpyxJBcbxlbIkgilOzouNOGljM2Z+mtAH&#10;dUhs6obsF5tO7wlqdLQh17sgDaV6SX+b4DRvni+P2h4ocGhcH9r2oa4NwWaQ+lHIld+DwUyeBVIE&#10;6cZmCot5RB/UIbGpG7JfbDq9J0zS0cZm74I0lBM2BSWr05o3s455U8qcvdXNMMl4loIRi3kzZH6U&#10;tkyT9ryZRRHPSH04JDZ1Q/aLTaf3hEk62tjsXXDC5unKtAJTjn0U8yauDZk3GbRJwFPpm5xHQKpr&#10;IrWxyQLMm8eATd2Q/WLT6T1hko42NnsXPHls/nyZXAbSuDg6W1DKOrAph6L3vMkyhH6E2hbEhWXo&#10;OWyGSQTTMLCPoT7kvMlUQ/aMTbv3hEk6OtjsW3DC5gnPmyYysdE3UxOb1svZzjNoreRDYZgVw+ew&#10;mSBY8SiwqRqyZ2zavSdM0tHBZt+CEzZPGJvtiEkh00o7a+95M8hi4FHHwLIMdtiW29+RaZMIkd/H&#10;MG+qhuwbm1bvCZN0dLHZs+CEzRPGZjtwU2BT6oO9sQnTbICoWKVvsiRhO7EHln+TpWlywNiDxr+p&#10;G7JnbNq9J0zS0cFm34ITNk8Ymx1hQemwAFLOIiw1UPpmGqc+1olAnbRcKFZYEHwsmJbTg82buimI&#10;PaCWvACc+mXfDj5oClKtSt8mVNLRQaczUlSCjnbJk4fnh0j819/MuEKD0o7QIFwbYqoNGJaDMRV+&#10;gIVbQdSOPrDhiYUwmGiPAZ66JXuGp9N/AhsdbdCx3iVpNNVbTjACYczw7IgOSqXW2F+yxbrLMFZa&#10;ZxwmfntNEkWVisA9lkCiZEcxe+qW7Buedv8JlnR04dm35ATPExZuOwKEUgmf3vCMGEMgu1I8oyiB&#10;/CYmxyeE2xQ2owMabC3hVrdkz/B0+k+wpKMDz94lJ3ieMDw7YoRUjE9veDKsWEyZikOIGIeVqAVP&#10;xyyEEKEDCre2XUi15AXw1C/7tu7ZFGSp3X+CJR1dePYtOcHzdOGZdYQJ4doQ3ZMHfprGavZE2hBE&#10;27aXjFn4DDHPKnfqgUMRdEP2i06n9wRKOtrg7F3w5LH56dNH4RNQtrRx2YWyjjAhXBuCTRZwngZq&#10;6kQkQraz8t/WPEMfpqPDhfA1kq1uyAuw2Rhj6dMhlNFRoY26jynW6T2VoqOLTWuYqAAd7YJu1Sdo&#10;FBozNjvChBAqOwSbAdZZh1qsZRkLoudC+MKIB0cRwqcb8gJsNsKqC5CdpdZNQaf3BDU62pDrXdCt&#10;esLmyaSQQthB1hEmhGtDsInlYogUUu5OpFaLw+d0zohl4VGonLoh+8Wm03vCJB1tbPYuOGHzhPXN&#10;jjAhtaSrtzko4gmLtK8T2AyfXZYScf84lqXohuwZm3bvCZN0dLDZt+CEzRPFZhpGbT+nvDRk1oyb&#10;fKQ8iKNUxf81fpQp9aKA/5SPVGTLRhJSMRjHnX8ACGh7F+WlIaAQ3osY0XZihXOSpry9wDnIEPea&#10;QGQVzn/kDYkPl33ANAWhc7olT89XTlObrFvu7JIhJ0oCDxC6xoMAcYPakEel6KjmIpYlUHNh9RJD&#10;FcSwKWOgoZtRKTqq0lCfuQj/F6WfL2n6hZJwJFFshXpdf90PMRyvlEI4CD7in+ktYWNKIfxMznq5&#10;PAv5k7XcSMnSgc+2x1FeGgbZkHMEsIovS+SNBuEFbZqJDJObyPUj82zJU/Wd7n1ppW6HyLIlm9GF&#10;VgaWo7pCIGnAOr+/up3/Z/G3neGOQ6S2yiPBtsyjp6sSCOIqMfzuHVWVGgv31e6v9htVlXKENbRN&#10;G1S11q2mO+YWEOy+3/2lXilxLwhqHqP26wUHskqrIu3QkqPXt0vqmfYAmaolAajapiNEF7fZ83VR&#10;LVTFPVOco/aXpjffTxpAh92NyKcDQxJo5GRlkJdA5d7aL2MnxJsapmKzjuf5U/PMxDakdNRiG3tj&#10;6YP50yQ/vQmVB6vudnjUMK8zR5BWIiJLhPwkUpIq6/gkP8kRaYsHDUOzmeC3Ud08NzHCLkY4mD9N&#10;8tPRm2Pittsd8tMwr/tJ8aaGBdisY5KfpMb6nWrXJD+J3a6kbXayP32P/Sluhx+ARw2LPggYSwKx&#10;RaKwtoRiv8bJ/KQsbq9mftIrfg5qfnLaoKXnyfzUe5+83rtQjNj81I6+AGsalqPllFjTy6UnB7FK&#10;C+s0MTe2XlVnX3uyEWHMY2Q9VuxBVOm04eBcY5KeJumpz47TT3rvsDR+x/o0LFUNsoiHKWLKBBKT&#10;OE3VLjhPGp8o58iBnXeR3Aq2Ud2UJNIwDnISNSVcC1FbcnF8TQ2n27vxSecJandHtIhG3u2I+0s9&#10;5/BB540NH5RefZc92kqx+1r3l6pEvao9QKZqZ0B36eK+cXLendw+QRCV2nl65KUhzrtTYk0NT7Fh&#10;9jx7ap75hsnawXgDtlPnGpP0NElPL5OedmN442GpirAKjYehyiSGTQtD7L8EDvek9HSw7LialUyh&#10;Ty3Bo4OFGBFGjZkkpy3y7PDig2uRk+tOagMntFsURKXdSGpcGiI9nRJraiShV5CeJFMmVciVnohf&#10;nyLX6GB9jU3OUd+a0W+re80dmy6t0RrMnqbIp7cR+WQix//ACpV8c7NeeAE4lzSx9o7QjBKfRTp6&#10;HKsZ8IW1RCjmcy4CQWW2xwDpOdo5N7ZlVX9eFHeeOLmYlWiMnA9oy2axZEEXEaLZeiP+bopP8NeC&#10;n8oFEziIBlfb30sVXFo/Xj1i6Rrin4nnXhXXXxE1vyrKv3/7siiX6+LhYlbos5mHE9Qt7s689S+b&#10;Siyy8Go6Kenkik7Kev2xWItSqjUf7utieVuLBomWqNr0j4dqq1qFE+/xbr2pzlEGtdX19vzsrJqv&#10;Fnd59e7udl4WVbGsXyQTY6ddbVF0qKo24P0uqmLfiBBJAF3BGKtSsbv5oahqvDijoaqJUnSpOixS&#10;0cYq0j5ixwFteVg81t78EWgB/rHNwIGwKhvToGcEWDXxXS5Vh8V4OVT1kxQZylysHpaqJrX3aLBq&#10;ImJcqpqpqNe2WjZVkYEJc+gxEdVYWUZDVBNL4BLVzESDicqRIUSphJa56aD81+inoyGq8b66RDUT&#10;US+iYr0tNu+RDthOAZgHGbYTOdSkaqT50RDV+K1copp5qBdRWRwEYpm6WNOBFJ8xl3Nyg9QINEeW&#10;pANJSipEclSikjH1u1Q1E9FgqsJYkql9R46GqkaaHw1WjZXUpaqZiYZSFREwsS/n5KMhqhHmR0PU&#10;brsSEmMMMX9bDLhLUjow/zWy/FiIilwmXWYlleKkt1mJ+chyCQOjmFZ5GPmcSZbXYJVjswkkBj3U&#10;tGqk+dGQtduuhC3bh2CV+2ESc5XJ5hjJauT50ZC127A0cGfvwA8iLM05WrQaiX40ZO22LA3cFBrZ&#10;9nnCVYquY0SrEelHQ9Zu29LA/YSRoQw7ralcRsdIViPTj4as3dalPlvRemUBb+QPUZCJf9LFWCyX&#10;Hjw0P3AYHjiUYWGYwK7R2NzStQsnfgYfriVBSVEVXlKK+Cdf6qu4W5kR8sdBZZF/25BZrvLwAnVt&#10;qPyUYoGAIGrgZ2q/NUsoDmEW1gbEKEp9ySAtis7vlQNdeKLJaZ6f31z/Wgl/NK6t6Gz+uKHTEm52&#10;TzqwPXxqeHsp/16Jv/IpkYYLhcULxKkHdznXDUEYomqHuNnEQNtRdvIlaGNzt5XOUL8KPaaiVICO&#10;6nVUJwrafadCdLTr7lvOrRiNPbXMYyFc9B+lToPOjSrzGHYs7VRXjWzRy7AkzPk+zEmS2SJSuGUD&#10;ZkHoB5CpD6Stcvn9jscILPiqse1bvNaoAf1oCl2VeC0L0yiQn8TEbGUSkYnZyoCySu0PIs97r7P/&#10;+TK5RDZfzJ2jY7bdBt+B+146zJZjY8eWGZ+l2PMdAUuH4rbGJDYeydZMoha3HTiDWtyWxzELpH4w&#10;cduJ2zZy/3dx2w+R+D9Gbtvsk+j4TAdulWhzWx7GrB1exkIfG+badgTSI/ZiR1Ci9rhkW+MLt7it&#10;MZoNlm0RaZ+qxZATt5247Qu57Vi3vkSIULfLZeAGeza3DbBnNG0pQHH32FIvxFYoB5NtRxfOIBLm&#10;tDLTD9yXTfi8yY4gtpYPWvHZpEqLZU9kaKSpc98G21cw0/a3lk6rAd/EasAdNwZ4n4mb6Cd9YElR&#10;7MMcKkz1fsZCyVUa6UMvNh3pNjJ6IyY4GaQ00mvlbccS3+a5nTwGzepfVUh5cWRtb2FVdGuATBoH&#10;yTxp2JqOEE996WJl4VfLtxez5TpXy07L4n5zrax4Yqlpa2FpVX9dLwQ/lXZBZ3dEvanwl1x41aY8&#10;nv/cktYdqz9Y00Cj/wmxpoYD2Gv2Gz+rC4g2t5m4hrTPu4Pk/tJ+Z7Mpl8OAmtGXDMrisc0dmy7u&#10;q4cnypukp7chPRlTuWuUG2gtt/zNYcrEHrXyAyM1MYO3EhlwD+UBGV10dNY2yYklQ4IkvQPeIV2Q&#10;/tcIwlGWxRkF9HDYXgPsHqQkjr1riKYtiOmhpjytLlIJ1dhmznGjcMw70XX3CSpHR8Vq7fI0EFSC&#10;jqqkNZxQQOnecK4qtrn8BwQ/JiPztP/Ck4LfZSb+a2p2+45ftOvgUUTxQCa+OX+4QVYTUOGmzLer&#10;2/llXuf2byk5ny94sSrW14vy/f8BAAD//wMAUEsDBBQABgAIAAAAIQANsr9+3QAAAAUBAAAPAAAA&#10;ZHJzL2Rvd25yZXYueG1sTI9BS8NAEIXvgv9hGcGb3ay12sZsSinqqQi2gvQ2zU6T0OxsyG6T9N+7&#10;etHLwOM93vsmW462ET11vnasQU0SEMSFMzWXGj53r3dzED4gG2wck4YLeVjm11cZpsYN/EH9NpQi&#10;lrBPUUMVQptK6YuKLPqJa4mjd3SdxRBlV0rT4RDLbSPvk+RRWqw5LlTY0rqi4rQ9Ww1vAw6rqXrp&#10;N6fj+rLfzd6/Noq0vr0ZV88gAo3hLww/+BEd8sh0cGc2XjQa4iPh90ZvMVNPIA4aHtRiCjLP5H/6&#10;/BsAAP//AwBQSwECLQAUAAYACAAAACEAtoM4kv4AAADhAQAAEwAAAAAAAAAAAAAAAAAAAAAAW0Nv&#10;bnRlbnRfVHlwZXNdLnhtbFBLAQItABQABgAIAAAAIQA4/SH/1gAAAJQBAAALAAAAAAAAAAAAAAAA&#10;AC8BAABfcmVscy8ucmVsc1BLAQItABQABgAIAAAAIQC38G5SBBIAANPUAAAOAAAAAAAAAAAAAAAA&#10;AC4CAABkcnMvZTJvRG9jLnhtbFBLAQItABQABgAIAAAAIQANsr9+3QAAAAUBAAAPAAAAAAAAAAAA&#10;AAAAAF4UAABkcnMvZG93bnJldi54bWxQSwUGAAAAAAQABADzAAAAaBUAAAAA&#10;">
                <v:rect id="Rectangle 37978" o:spid="_x0000_s1032" style="position:absolute;left:60012;top:25146;width:562;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DkxQAAAN4AAAAPAAAAZHJzL2Rvd25yZXYueG1sRE9Na8JA&#10;EL0X/A/LCL01Gy1UE11FbIse26QQvQ3ZMQlmZ0N2a9L++u6h4PHxvtfb0bTiRr1rLCuYRTEI4tLq&#10;hisFX/n70xKE88gaW8uk4IccbDeThzWm2g78SbfMVyKEsEtRQe19l0rpypoMush2xIG72N6gD7Cv&#10;pO5xCOGmlfM4fpEGGw4NNXa0r6m8Zt9GwWHZ7U5H+ztU7dv5UHwUyWueeKUep+NuBcLT6O/if/dR&#10;K3heJIuwN9wJV0Bu/gAAAP//AwBQSwECLQAUAAYACAAAACEA2+H2y+4AAACFAQAAEwAAAAAAAAAA&#10;AAAAAAAAAAAAW0NvbnRlbnRfVHlwZXNdLnhtbFBLAQItABQABgAIAAAAIQBa9CxbvwAAABUBAAAL&#10;AAAAAAAAAAAAAAAAAB8BAABfcmVscy8ucmVsc1BLAQItABQABgAIAAAAIQDLjDDkxQAAAN4AAAAP&#10;AAAAAAAAAAAAAAAAAAcCAABkcnMvZG93bnJldi54bWxQSwUGAAAAAAMAAwC3AAAA+QIAAAAA&#10;" filled="f" stroked="f">
                  <v:textbox inset="0,0,0,0">
                    <w:txbxContent>
                      <w:p w:rsidR="002010BA" w:rsidRDefault="002010BA">
                        <w:pPr>
                          <w:spacing w:after="160" w:line="259" w:lineRule="auto"/>
                          <w:ind w:left="0" w:firstLine="0"/>
                          <w:jc w:val="left"/>
                        </w:pPr>
                        <w:r>
                          <w:rPr>
                            <w:rFonts w:ascii="Century Gothic" w:eastAsia="Century Gothic" w:hAnsi="Century Gothic" w:cs="Century Gothic"/>
                            <w:sz w:val="24"/>
                          </w:rPr>
                          <w:t xml:space="preserve"> </w:t>
                        </w:r>
                      </w:p>
                    </w:txbxContent>
                  </v:textbox>
                </v:rect>
                <v:shape id="Shape 38433" o:spid="_x0000_s1033" style="position:absolute;left:6690;top:18495;width:49370;height:0;visibility:visible;mso-wrap-style:square;v-text-anchor:top" coordsize="4936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JeVxgAAAN4AAAAPAAAAZHJzL2Rvd25yZXYueG1sRI9Ba8JA&#10;FITvBf/D8oTe6kZTik1dJQoFwZNR0ONr9jUJZt+G3Y3G/nq3UOhxmPlmmMVqMK24kvONZQXTSQKC&#10;uLS64UrB8fD5MgfhA7LG1jIpuJOH1XL0tMBM2xvv6VqESsQS9hkqqEPoMil9WZNBP7EdcfS+rTMY&#10;onSV1A5vsdy0cpYkb9Jgw3Ghxo42NZWXojcK1u376Svvd/kJi3X/I8+7SDqlnsdD/gEi0BD+w3/0&#10;VitI569pCr934hWQywcAAAD//wMAUEsBAi0AFAAGAAgAAAAhANvh9svuAAAAhQEAABMAAAAAAAAA&#10;AAAAAAAAAAAAAFtDb250ZW50X1R5cGVzXS54bWxQSwECLQAUAAYACAAAACEAWvQsW78AAAAVAQAA&#10;CwAAAAAAAAAAAAAAAAAfAQAAX3JlbHMvLnJlbHNQSwECLQAUAAYACAAAACEAmMSXlcYAAADeAAAA&#10;DwAAAAAAAAAAAAAAAAAHAgAAZHJzL2Rvd25yZXYueG1sUEsFBgAAAAADAAMAtwAAAPoCAAAAAA==&#10;" path="m,l4936998,e" filled="f" strokecolor="#d9d9d9" strokeweight="1pt">
                  <v:path arrowok="t" textboxrect="0,0,4936998,0"/>
                </v:shape>
                <v:shape id="Shape 38434" o:spid="_x0000_s1034" style="position:absolute;left:6690;top:13328;width:49370;height:0;visibility:visible;mso-wrap-style:square;v-text-anchor:top" coordsize="4936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Q/hxgAAAN4AAAAPAAAAZHJzL2Rvd25yZXYueG1sRI9Pa8JA&#10;FMTvBb/D8gRvdeMfikZXiYWC4KlpQY/P7DMJZt+G3Y1GP323UOhxmPnNMOttbxpxI+drywom4wQE&#10;cWF1zaWC76+P1wUIH5A1NpZJwYM8bDeDlzWm2t75k255KEUsYZ+igiqENpXSFxUZ9GPbEkfvYp3B&#10;EKUrpXZ4j+WmkdMkeZMGa44LFbb0XlFxzTujYNcsj+esO2RHzHfdU54OkXRKjYZ9tgIRqA//4T96&#10;rxXMFvPZHH7vxCsgNz8AAAD//wMAUEsBAi0AFAAGAAgAAAAhANvh9svuAAAAhQEAABMAAAAAAAAA&#10;AAAAAAAAAAAAAFtDb250ZW50X1R5cGVzXS54bWxQSwECLQAUAAYACAAAACEAWvQsW78AAAAVAQAA&#10;CwAAAAAAAAAAAAAAAAAfAQAAX3JlbHMvLnJlbHNQSwECLQAUAAYACAAAACEAFy0P4cYAAADeAAAA&#10;DwAAAAAAAAAAAAAAAAAHAgAAZHJzL2Rvd25yZXYueG1sUEsFBgAAAAADAAMAtwAAAPoCAAAAAA==&#10;" path="m,l4936998,e" filled="f" strokecolor="#d9d9d9" strokeweight="1pt">
                  <v:path arrowok="t" textboxrect="0,0,4936998,0"/>
                </v:shape>
                <v:shape id="Shape 38435" o:spid="_x0000_s1035" style="position:absolute;left:6690;top:8162;width:49370;height:0;visibility:visible;mso-wrap-style:square;v-text-anchor:top" coordsize="4936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ap6xgAAAN4AAAAPAAAAZHJzL2Rvd25yZXYueG1sRI9Ba8JA&#10;FITvBf/D8gRvdaO2otFVolAoeDIV9PjMviah2bdhd6Npf31XKPQ4zHwzzHrbm0bcyPnasoLJOAFB&#10;XFhdc6ng9PH2vADhA7LGxjIp+CYP283gaY2ptnc+0i0PpYgl7FNUUIXQplL6oiKDfmxb4uh9Wmcw&#10;ROlKqR3eY7lp5DRJ5tJgzXGhwpb2FRVfeWcU7Jrl+Zp1h+yM+a77kZdDJJ1So2GfrUAE6sN/+I9+&#10;1wpmi5fZKzzuxCsgN78AAAD//wMAUEsBAi0AFAAGAAgAAAAhANvh9svuAAAAhQEAABMAAAAAAAAA&#10;AAAAAAAAAAAAAFtDb250ZW50X1R5cGVzXS54bWxQSwECLQAUAAYACAAAACEAWvQsW78AAAAVAQAA&#10;CwAAAAAAAAAAAAAAAAAfAQAAX3JlbHMvLnJlbHNQSwECLQAUAAYACAAAACEAeGGqesYAAADeAAAA&#10;DwAAAAAAAAAAAAAAAAAHAgAAZHJzL2Rvd25yZXYueG1sUEsFBgAAAAADAAMAtwAAAPoCAAAAAA==&#10;" path="m,l4936998,e" filled="f" strokecolor="#d9d9d9" strokeweight="1pt">
                  <v:path arrowok="t" textboxrect="0,0,4936998,0"/>
                </v:shape>
                <v:shape id="Shape 38436" o:spid="_x0000_s1036" style="position:absolute;left:6690;top:2998;width:49370;height:0;visibility:visible;mso-wrap-style:square;v-text-anchor:top" coordsize="4936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QNxQAAAN4AAAAPAAAAZHJzL2Rvd25yZXYueG1sRI9Ba8JA&#10;FITvBf/D8gRvdaMW0egqsVAQPDUt6PGZfSbB7Nuwu9Hor+8WCj0OM98Ms972phE3cr62rGAyTkAQ&#10;F1bXXCr4/vp4XYDwAVljY5kUPMjDdjN4WWOq7Z0/6ZaHUsQS9ikqqEJoUyl9UZFBP7YtcfQu1hkM&#10;UbpSaof3WG4aOU2SuTRYc1yosKX3iopr3hkFu2Z5PGfdITtivuue8nSIpFNqNOyzFYhAffgP/9F7&#10;rWC2eJvN4fdOvAJy8wMAAP//AwBQSwECLQAUAAYACAAAACEA2+H2y+4AAACFAQAAEwAAAAAAAAAA&#10;AAAAAAAAAAAAW0NvbnRlbnRfVHlwZXNdLnhtbFBLAQItABQABgAIAAAAIQBa9CxbvwAAABUBAAAL&#10;AAAAAAAAAAAAAAAAAB8BAABfcmVscy8ucmVsc1BLAQItABQABgAIAAAAIQCIszQNxQAAAN4AAAAP&#10;AAAAAAAAAAAAAAAAAAcCAABkcnMvZG93bnJldi54bWxQSwUGAAAAAAMAAwC3AAAA+QIAAAAA&#10;" path="m,l4936998,e" filled="f" strokecolor="#d9d9d9" strokeweight="1pt">
                  <v:path arrowok="t" textboxrect="0,0,4936998,0"/>
                </v:shape>
                <v:shape id="Shape 395775" o:spid="_x0000_s1037" style="position:absolute;left:8442;top:20628;width:1585;height:3030;visibility:visible;mso-wrap-style:square;v-text-anchor:top" coordsize="158496,30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rNygAAAN8AAAAPAAAAZHJzL2Rvd25yZXYueG1sRI9Ba8JA&#10;FITvhf6H5RV6KXXTSkyNriKiYA8eqpbq7ZF9TYLZtyG7atJf7woFj8PMfMOMp62pxJkaV1pW8NaL&#10;QBBnVpecK9htl68fIJxH1lhZJgUdOZhOHh/GmGp74S86b3wuAoRdigoK7+tUSpcVZND1bE0cvF/b&#10;GPRBNrnUDV4C3FTyPYoG0mDJYaHAmuYFZcfNySh4WeeLPenj7ufwyYO4/1f6765T6vmpnY1AeGr9&#10;PfzfXmkF/WGcJDHc/oQvICdXAAAA//8DAFBLAQItABQABgAIAAAAIQDb4fbL7gAAAIUBAAATAAAA&#10;AAAAAAAAAAAAAAAAAABbQ29udGVudF9UeXBlc10ueG1sUEsBAi0AFAAGAAgAAAAhAFr0LFu/AAAA&#10;FQEAAAsAAAAAAAAAAAAAAAAAHwEAAF9yZWxzLy5yZWxzUEsBAi0AFAAGAAgAAAAhAAqAas3KAAAA&#10;3wAAAA8AAAAAAAAAAAAAAAAABwIAAGRycy9kb3ducmV2LnhtbFBLBQYAAAAAAwADALcAAAD+AgAA&#10;AAA=&#10;" path="m,l158496,r,303023l,303023,,e" fillcolor="#4472c4" stroked="f" strokeweight="0">
                  <v:path arrowok="t" textboxrect="0,0,158496,303023"/>
                </v:shape>
                <v:shape id="Shape 395776" o:spid="_x0000_s1038" style="position:absolute;left:18303;top:20415;width:1600;height:3243;visibility:visible;mso-wrap-style:square;v-text-anchor:top" coordsize="160020,32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vHaxwAAAN8AAAAPAAAAZHJzL2Rvd25yZXYueG1sRI/NasMw&#10;EITvhb6D2EJujVSH/LlRQimE5Baa5pDcFmtju7FWRlJj++2rQqHHYWa+YVab3jbiTj7UjjW8jBUI&#10;4sKZmksNp8/t8wJEiMgGG8ekYaAAm/Xjwwpz4zr+oPsxliJBOOSooYqxzaUMRUUWw9i1xMm7Om8x&#10;JulLaTx2CW4bmSk1kxZrTgsVtvReUXE7flsNZ1UMl8xODt0uu8X9cAjqywetR0/92yuISH38D/+1&#10;90bDZDmdz2fw+yd9Abn+AQAA//8DAFBLAQItABQABgAIAAAAIQDb4fbL7gAAAIUBAAATAAAAAAAA&#10;AAAAAAAAAAAAAABbQ29udGVudF9UeXBlc10ueG1sUEsBAi0AFAAGAAgAAAAhAFr0LFu/AAAAFQEA&#10;AAsAAAAAAAAAAAAAAAAAHwEAAF9yZWxzLy5yZWxzUEsBAi0AFAAGAAgAAAAhAAQu8drHAAAA3wAA&#10;AA8AAAAAAAAAAAAAAAAABwIAAGRycy9kb3ducmV2LnhtbFBLBQYAAAAAAwADALcAAAD7AgAAAAA=&#10;" path="m,l160020,r,324359l,324359,,e" fillcolor="#4472c4" stroked="f" strokeweight="0">
                  <v:path arrowok="t" textboxrect="0,0,160020,324359"/>
                </v:shape>
                <v:shape id="Shape 395777" o:spid="_x0000_s1039" style="position:absolute;left:28178;top:17550;width:1600;height:6108;visibility:visible;mso-wrap-style:square;v-text-anchor:top" coordsize="160020,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K0xgAAAN8AAAAPAAAAZHJzL2Rvd25yZXYueG1sRI9BSwMx&#10;FITvQv9DeAVv9m0ruu22aSmyikdbFXp8bJ6bxc1L2MR2/fdGEDwOM/MNs9mNrldnHmLnRcN8VoBi&#10;abzppNXw9vp4swQVE4mh3gtr+OYIu+3kakOV8Rc58PmYWpUhEivSYFMKFWJsLDuKMx9YsvfhB0cp&#10;y6FFM9Alw12Pi6K4R0ed5AVLgR8sN5/HL6ehlnCILycM70sMxuxXNdqnWuvr6bhfg0o8pv/wX/vZ&#10;aLhd3ZVlCb9/8hfA7Q8AAAD//wMAUEsBAi0AFAAGAAgAAAAhANvh9svuAAAAhQEAABMAAAAAAAAA&#10;AAAAAAAAAAAAAFtDb250ZW50X1R5cGVzXS54bWxQSwECLQAUAAYACAAAACEAWvQsW78AAAAVAQAA&#10;CwAAAAAAAAAAAAAAAAAfAQAAX3JlbHMvLnJlbHNQSwECLQAUAAYACAAAACEAgixStMYAAADfAAAA&#10;DwAAAAAAAAAAAAAAAAAHAgAAZHJzL2Rvd25yZXYueG1sUEsFBgAAAAADAAMAtwAAAPoCAAAAAA==&#10;" path="m,l160020,r,610870l,610870,,e" fillcolor="#4472c4" stroked="f" strokeweight="0">
                  <v:path arrowok="t" textboxrect="0,0,160020,610870"/>
                </v:shape>
                <v:shape id="Shape 395778" o:spid="_x0000_s1040" style="position:absolute;left:38054;top:14959;width:1600;height:8699;visibility:visible;mso-wrap-style:square;v-text-anchor:top" coordsize="16002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H67xQAAAN8AAAAPAAAAZHJzL2Rvd25yZXYueG1sRE/LasJA&#10;FN0L/sNwC+50UuszdZQSFIQuiklduLtkbpNg5k7IjCb+vbMouDyc92bXm1rcqXWVZQXvkwgEcW51&#10;xYWC3+wwXoFwHlljbZkUPMjBbjscbDDWtuMT3VNfiBDCLkYFpfdNLKXLSzLoJrYhDtyfbQ36ANtC&#10;6ha7EG5qOY2ihTRYcWgosaGkpPya3oyC089ifkmTvT1cKTt/d9Es6bKjUqO3/usThKfev8T/7qNW&#10;8LGeL5dhcPgTvoDcPgEAAP//AwBQSwECLQAUAAYACAAAACEA2+H2y+4AAACFAQAAEwAAAAAAAAAA&#10;AAAAAAAAAAAAW0NvbnRlbnRfVHlwZXNdLnhtbFBLAQItABQABgAIAAAAIQBa9CxbvwAAABUBAAAL&#10;AAAAAAAAAAAAAAAAAB8BAABfcmVscy8ucmVsc1BLAQItABQABgAIAAAAIQCU3H67xQAAAN8AAAAP&#10;AAAAAAAAAAAAAAAAAAcCAABkcnMvZG93bnJldi54bWxQSwUGAAAAAAMAAwC3AAAA+QIAAAAA&#10;" path="m,l160020,r,869950l,869950,,e" fillcolor="#4472c4" stroked="f" strokeweight="0">
                  <v:path arrowok="t" textboxrect="0,0,160020,869950"/>
                </v:shape>
                <v:shape id="Shape 395779" o:spid="_x0000_s1041" style="position:absolute;left:47929;top:14105;width:1601;height:9553;visibility:visible;mso-wrap-style:square;v-text-anchor:top" coordsize="160020,95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HBxQAAAN8AAAAPAAAAZHJzL2Rvd25yZXYueG1sRI9Pi8Iw&#10;FMTvwn6H8IS9aarin3aNsgjCXq2CHh/Na1O2eSlN1K6ffiMIHoeZ+Q2z3va2ETfqfO1YwWScgCAu&#10;nK65UnA67kcrED4ga2wck4I/8rDdfAzWmGl35wPd8lCJCGGfoQITQptJ6QtDFv3YtcTRK11nMUTZ&#10;VVJ3eI9w28hpkiykxZrjgsGWdoaK3/xqFTy8nRtu83MdytlldeSDf1x6pT6H/fcXiEB9eIdf7R+t&#10;YJbOl8sUnn/iF5CbfwAAAP//AwBQSwECLQAUAAYACAAAACEA2+H2y+4AAACFAQAAEwAAAAAAAAAA&#10;AAAAAAAAAAAAW0NvbnRlbnRfVHlwZXNdLnhtbFBLAQItABQABgAIAAAAIQBa9CxbvwAAABUBAAAL&#10;AAAAAAAAAAAAAAAAAB8BAABfcmVscy8ucmVsc1BLAQItABQABgAIAAAAIQDteUHBxQAAAN8AAAAP&#10;AAAAAAAAAAAAAAAAAAcCAABkcnMvZG93bnJldi54bWxQSwUGAAAAAAMAAwC3AAAA+QIAAAAA&#10;" path="m,l160020,r,955294l,955294,,e" fillcolor="#4472c4" stroked="f" strokeweight="0">
                  <v:path arrowok="t" textboxrect="0,0,160020,955294"/>
                </v:shape>
                <v:shape id="Shape 395780" o:spid="_x0000_s1042" style="position:absolute;left:10027;top:22259;width:1601;height:1399;visibility:visible;mso-wrap-style:square;v-text-anchor:top" coordsize="160020,13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ipnxwAAAN8AAAAPAAAAZHJzL2Rvd25yZXYueG1sRI/NasJA&#10;FIX3gu8wXKE7nai0anSUqrS0y0RR3F0y1yQ2cydmppr26TuLgsvD+eNbrFpTiRs1rrSsYDiIQBBn&#10;VpecK9jv3vpTEM4ja6wsk4IfcrBadjsLjLW9c0K31OcijLCLUUHhfR1L6bKCDLqBrYmDd7aNQR9k&#10;k0vd4D2Mm0qOouhFGiw5PBRY06ag7Cv9NgqsjE7J7nJK3nl0/Fy763Z7SH+Veuq1r3MQnlr/CP+3&#10;P7SC8ex5Mg0EgSewgFz+AQAA//8DAFBLAQItABQABgAIAAAAIQDb4fbL7gAAAIUBAAATAAAAAAAA&#10;AAAAAAAAAAAAAABbQ29udGVudF9UeXBlc10ueG1sUEsBAi0AFAAGAAgAAAAhAFr0LFu/AAAAFQEA&#10;AAsAAAAAAAAAAAAAAAAAHwEAAF9yZWxzLy5yZWxzUEsBAi0AFAAGAAgAAAAhAEPKKmfHAAAA3wAA&#10;AA8AAAAAAAAAAAAAAAAABwIAAGRycy9kb3ducmV2LnhtbFBLBQYAAAAAAwADALcAAAD7AgAAAAA=&#10;" path="m,l160020,r,139954l,139954,,e" fillcolor="#ed7d31" stroked="f" strokeweight="0">
                  <v:path arrowok="t" textboxrect="0,0,160020,139954"/>
                </v:shape>
                <v:shape id="Shape 395781" o:spid="_x0000_s1043" style="position:absolute;left:19903;top:22183;width:1600;height:1475;visibility:visible;mso-wrap-style:square;v-text-anchor:top" coordsize="160020,14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auxwAAAN8AAAAPAAAAZHJzL2Rvd25yZXYueG1sRI9PawIx&#10;FMTvBb9DeEIvpWZV6p/VKFIQvEhZK6XHx+Z1s7h5WTZZjd/eFAo9DjPzG2a9jbYRV+p87VjBeJSB&#10;IC6drrlScP7cvy5A+ICssXFMCu7kYbsZPK0x1+7GBV1PoRIJwj5HBSaENpfSl4Ys+pFriZP34zqL&#10;IcmukrrDW4LbRk6ybCYt1pwWDLb0bqi8nHqrYPLd66/CmHiR/sPOjkVc9i9Rqedh3K1ABIrhP/zX&#10;PmgF0+XbfDGG3z/pC8jNAwAA//8DAFBLAQItABQABgAIAAAAIQDb4fbL7gAAAIUBAAATAAAAAAAA&#10;AAAAAAAAAAAAAABbQ29udGVudF9UeXBlc10ueG1sUEsBAi0AFAAGAAgAAAAhAFr0LFu/AAAAFQEA&#10;AAsAAAAAAAAAAAAAAAAAHwEAAF9yZWxzLy5yZWxzUEsBAi0AFAAGAAgAAAAhANBKNq7HAAAA3wAA&#10;AA8AAAAAAAAAAAAAAAAABwIAAGRycy9kb3ducmV2LnhtbFBLBQYAAAAAAwADALcAAAD7AgAAAAA=&#10;" path="m,l160020,r,147575l,147575,,e" fillcolor="#ed7d31" stroked="f" strokeweight="0">
                  <v:path arrowok="t" textboxrect="0,0,160020,147575"/>
                </v:shape>
                <v:shape id="Shape 395782" o:spid="_x0000_s1044" style="position:absolute;left:29778;top:21954;width:1601;height:1704;visibility:visible;mso-wrap-style:square;v-text-anchor:top" coordsize="160020,17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kr2yAAAAN8AAAAPAAAAZHJzL2Rvd25yZXYueG1sRI/RSgMx&#10;FETfC/5DuELfbLYtrXVtWkRaaNEHrX7AdXObLG5uliTdXf/eCEIfh5k5w6y3g2tERyHWnhVMJwUI&#10;4srrmo2Cz4/93QpETMgaG8+k4IcibDc3ozWW2vf8Tt0pGZEhHEtUYFNqSyljZclhnPiWOHtnHxym&#10;LIOROmCf4a6Rs6JYSoc15wWLLT1bqr5PF6fg4L/6+HacdnYn25fwuuzPR2OUGt8OT48gEg3pGv5v&#10;H7SC+cPifjWDvz/5C8jNLwAAAP//AwBQSwECLQAUAAYACAAAACEA2+H2y+4AAACFAQAAEwAAAAAA&#10;AAAAAAAAAAAAAAAAW0NvbnRlbnRfVHlwZXNdLnhtbFBLAQItABQABgAIAAAAIQBa9CxbvwAAABUB&#10;AAALAAAAAAAAAAAAAAAAAB8BAABfcmVscy8ucmVsc1BLAQItABQABgAIAAAAIQB7zkr2yAAAAN8A&#10;AAAPAAAAAAAAAAAAAAAAAAcCAABkcnMvZG93bnJldi54bWxQSwUGAAAAAAMAAwC3AAAA/AIAAAAA&#10;" path="m,l160020,r,170435l,170435,,e" fillcolor="#ed7d31" stroked="f" strokeweight="0">
                  <v:path arrowok="t" textboxrect="0,0,160020,170435"/>
                </v:shape>
                <v:shape id="Shape 395783" o:spid="_x0000_s1045" style="position:absolute;left:39654;top:21908;width:1600;height:1750;visibility:visible;mso-wrap-style:square;v-text-anchor:top" coordsize="160020,17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AWyAAAAN8AAAAPAAAAZHJzL2Rvd25yZXYueG1sRI9BSwMx&#10;FITvgv8hPKE3m7VFbdempRQLBZHiVsHjM3luFjcv6ybdxn9vBKHHYWa+YRar5FoxUB8azwpuxgUI&#10;Yu1Nw7WC18P2egYiRGSDrWdS8EMBVsvLiwWWxp/4hYYq1iJDOJSowMbYlVIGbclhGPuOOHufvncY&#10;s+xraXo8Zbhr5aQo7qTDhvOCxY42lvRXdXQKvp+GKpm527ebN60/nt/TY32wSo2u0voBRKQUz+H/&#10;9s4omM5v72dT+PuTv4Bc/gIAAP//AwBQSwECLQAUAAYACAAAACEA2+H2y+4AAACFAQAAEwAAAAAA&#10;AAAAAAAAAAAAAAAAW0NvbnRlbnRfVHlwZXNdLnhtbFBLAQItABQABgAIAAAAIQBa9CxbvwAAABUB&#10;AAALAAAAAAAAAAAAAAAAAB8BAABfcmVscy8ucmVsc1BLAQItABQABgAIAAAAIQB3YrAWyAAAAN8A&#10;AAAPAAAAAAAAAAAAAAAAAAcCAABkcnMvZG93bnJldi54bWxQSwUGAAAAAAMAAwC3AAAA/AIAAAAA&#10;" path="m,l160020,r,175006l,175006,,e" fillcolor="#ed7d31" stroked="f" strokeweight="0">
                  <v:path arrowok="t" textboxrect="0,0,160020,175006"/>
                </v:shape>
                <v:shape id="Shape 395784" o:spid="_x0000_s1046" style="position:absolute;left:49530;top:21771;width:1600;height:1887;visibility:visible;mso-wrap-style:square;v-text-anchor:top" coordsize="160020,18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R8yAAAAN8AAAAPAAAAZHJzL2Rvd25yZXYueG1sRI9ba8JA&#10;FITfC/0Pyyn4InWjtl6iqxih0Cch3p4P2WMSzZ4N2VXTf+8KBR+HmfmGmS9bU4kbNa60rKDfi0AQ&#10;Z1aXnCvY734+JyCcR9ZYWSYFf+RguXh/m2Os7Z1Tum19LgKEXYwKCu/rWEqXFWTQ9WxNHLyTbQz6&#10;IJtc6gbvAW4qOYiikTRYclgosKZ1QdllezUKdnK86R789ZxeuoNkNS2TUXJMlep8tKsZCE+tf4X/&#10;279awXD6PZ58wfNP+AJy8QAAAP//AwBQSwECLQAUAAYACAAAACEA2+H2y+4AAACFAQAAEwAAAAAA&#10;AAAAAAAAAAAAAAAAW0NvbnRlbnRfVHlwZXNdLnhtbFBLAQItABQABgAIAAAAIQBa9CxbvwAAABUB&#10;AAALAAAAAAAAAAAAAAAAAB8BAABfcmVscy8ucmVsc1BLAQItABQABgAIAAAAIQD8SpR8yAAAAN8A&#10;AAAPAAAAAAAAAAAAAAAAAAcCAABkcnMvZG93bnJldi54bWxQSwUGAAAAAAMAAwC3AAAA/AIAAAAA&#10;" path="m,l160020,r,188723l,188723,,e" fillcolor="#ed7d31" stroked="f" strokeweight="0">
                  <v:path arrowok="t" textboxrect="0,0,160020,188723"/>
                </v:shape>
                <v:shape id="Shape 395785" o:spid="_x0000_s1047" style="position:absolute;left:21503;top:8680;width:1585;height:14978;visibility:visible;mso-wrap-style:square;v-text-anchor:top" coordsize="158496,1497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8+dyQAAAN8AAAAPAAAAZHJzL2Rvd25yZXYueG1sRI9BT8JA&#10;FITvJv6HzTPhJlslxVJYCBpNPAqSKLeX7qNb6b6t3W2p/54lMeE4mZlvMovVYGvRU+srxwoexgkI&#10;4sLpiksFu8+3+wyED8gaa8ek4I88rJa3NwvMtTvxhvptKEWEsM9RgQmhyaX0hSGLfuwa4ugdXGsx&#10;RNmWUrd4inBby8ckmUqLFccFgw29GCqO284qGL5/7PHj9Xe33qezpDPTw/NX1ys1uhvWcxCBhnAN&#10;/7fftYLJLH3KUrj8iV9ALs8AAAD//wMAUEsBAi0AFAAGAAgAAAAhANvh9svuAAAAhQEAABMAAAAA&#10;AAAAAAAAAAAAAAAAAFtDb250ZW50X1R5cGVzXS54bWxQSwECLQAUAAYACAAAACEAWvQsW78AAAAV&#10;AQAACwAAAAAAAAAAAAAAAAAfAQAAX3JlbHMvLnJlbHNQSwECLQAUAAYACAAAACEAdivPnckAAADf&#10;AAAADwAAAAAAAAAAAAAAAAAHAgAAZHJzL2Rvd25yZXYueG1sUEsFBgAAAAADAAMAtwAAAP0CAAAA&#10;AA==&#10;" path="m,l158496,r,1497838l,1497838,,e" fillcolor="#a5a5a5" stroked="f" strokeweight="0">
                  <v:path arrowok="t" textboxrect="0,0,158496,1497838"/>
                </v:shape>
                <v:shape id="Shape 395786" o:spid="_x0000_s1048" style="position:absolute;left:31379;top:6653;width:1585;height:17005;visibility:visible;mso-wrap-style:square;v-text-anchor:top" coordsize="158496,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ahyQAAAN8AAAAPAAAAZHJzL2Rvd25yZXYueG1sRI9PSwMx&#10;FMTvgt8hPMGbzbrSut02LUUriFDov0O9PTevyeLmZdmk7eqnN4LgcZiZ3zDTee8acaYu1J4V3A8y&#10;EMSV1zUbBfvdy10BIkRkjY1nUvBFAeaz66spltpfeEPnbTQiQTiUqMDG2JZShsqSwzDwLXHyjr5z&#10;GJPsjNQdXhLcNTLPspF0WHNasNjSk6Xqc3tyClb7wueH52Gk94Wx+bJYv31/GKVub/rFBESkPv6H&#10;/9qvWsHDePhYjOD3T/oCcvYDAAD//wMAUEsBAi0AFAAGAAgAAAAhANvh9svuAAAAhQEAABMAAAAA&#10;AAAAAAAAAAAAAAAAAFtDb250ZW50X1R5cGVzXS54bWxQSwECLQAUAAYACAAAACEAWvQsW78AAAAV&#10;AQAACwAAAAAAAAAAAAAAAAAfAQAAX3JlbHMvLnJlbHNQSwECLQAUAAYACAAAACEARqkWockAAADf&#10;AAAADwAAAAAAAAAAAAAAAAAHAgAAZHJzL2Rvd25yZXYueG1sUEsFBgAAAAADAAMAtwAAAP0CAAAA&#10;AA==&#10;" path="m,l158496,r,1700530l,1700530,,e" fillcolor="#a5a5a5" stroked="f" strokeweight="0">
                  <v:path arrowok="t" textboxrect="0,0,158496,1700530"/>
                </v:shape>
                <v:shape id="Shape 395787" o:spid="_x0000_s1049" style="position:absolute;left:41254;top:6470;width:1585;height:17188;visibility:visible;mso-wrap-style:square;v-text-anchor:top" coordsize="158496,17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dT/yAAAAN8AAAAPAAAAZHJzL2Rvd25yZXYueG1sRI9BawIx&#10;FITvgv8hPKGXUrO2tNqtUVQoaKGF1dLzY/O6G928LEnU9d+bQsHjMDPfMNN5ZxtxIh+MYwWjYQaC&#10;uHTacKXge/f+MAERIrLGxjEpuFCA+azfm2Ku3ZkLOm1jJRKEQ44K6hjbXMpQ1mQxDF1LnLxf5y3G&#10;JH0ltcdzgttGPmbZi7RoOC3U2NKqpvKwPVoFu43/KvzSXBbrT0MF7T+6+x9U6m7QLd5AROriLfzf&#10;XmsFT6/P48kY/v6kLyBnVwAAAP//AwBQSwECLQAUAAYACAAAACEA2+H2y+4AAACFAQAAEwAAAAAA&#10;AAAAAAAAAAAAAAAAW0NvbnRlbnRfVHlwZXNdLnhtbFBLAQItABQABgAIAAAAIQBa9CxbvwAAABUB&#10;AAALAAAAAAAAAAAAAAAAAB8BAABfcmVscy8ucmVsc1BLAQItABQABgAIAAAAIQAvfdT/yAAAAN8A&#10;AAAPAAAAAAAAAAAAAAAAAAcCAABkcnMvZG93bnJldi54bWxQSwUGAAAAAAMAAwC3AAAA/AIAAAAA&#10;" path="m,l158496,r,1718818l,1718818,,e" fillcolor="#a5a5a5" stroked="f" strokeweight="0">
                  <v:path arrowok="t" textboxrect="0,0,158496,1718818"/>
                </v:shape>
                <v:shape id="Shape 395788" o:spid="_x0000_s1050" style="position:absolute;left:51130;top:5571;width:1585;height:18087;visibility:visible;mso-wrap-style:square;v-text-anchor:top" coordsize="158496,180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fgxgAAAN8AAAAPAAAAZHJzL2Rvd25yZXYueG1sRE/LTgIx&#10;FN2b+A/NNXEnHUUHHCjEkJgYWZDhJcub6XU6Or0d2wrj39sFCcuT857Oe9uKI/nQOFZwP8hAEFdO&#10;N1wr2G5e78YgQkTW2DomBX8UYD67vppiod2JSzquYy1SCIcCFZgYu0LKUBmyGAauI07cp/MWY4K+&#10;ltrjKYXbVj5kWS4tNpwaDHa0MFR9r3+tgvz952tl9lnu6aNcLsv+0Gx2j0rd3vQvExCR+ngRn91v&#10;WsHw+Wk0ToPTn/QF5OwfAAD//wMAUEsBAi0AFAAGAAgAAAAhANvh9svuAAAAhQEAABMAAAAAAAAA&#10;AAAAAAAAAAAAAFtDb250ZW50X1R5cGVzXS54bWxQSwECLQAUAAYACAAAACEAWvQsW78AAAAVAQAA&#10;CwAAAAAAAAAAAAAAAAAfAQAAX3JlbHMvLnJlbHNQSwECLQAUAAYACAAAACEACpXX4MYAAADfAAAA&#10;DwAAAAAAAAAAAAAAAAAHAgAAZHJzL2Rvd25yZXYueG1sUEsFBgAAAAADAAMAtwAAAPoCAAAAAA==&#10;" path="m,l158496,r,1808735l,1808735,,e" fillcolor="#a5a5a5" stroked="f" strokeweight="0">
                  <v:path arrowok="t" textboxrect="0,0,158496,1808735"/>
                </v:shape>
                <v:shape id="Shape 395789" o:spid="_x0000_s1051" style="position:absolute;left:11628;top:5129;width:1600;height:18529;visibility:visible;mso-wrap-style:square;v-text-anchor:top" coordsize="160020,185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aDUyAAAAN8AAAAPAAAAZHJzL2Rvd25yZXYueG1sRI9fa8JA&#10;EMTfhX6HYwu+SL3Y4r/UU0QQRShFW+jrkluT0Nxemls1/faeIPg4zMxvmNmidZU6UxNKzwYG/QQU&#10;ceZtybmB76/1ywRUEGSLlWcy8E8BFvOnzgxT6y+8p/NBchUhHFI0UIjUqdYhK8hh6PuaOHpH3ziU&#10;KJtc2wYvEe4q/ZokI+2w5LhQYE2rgrLfw8kZKMXVg/Fx8/mR/fRkNez9bavlzpjuc7t8ByXUyiN8&#10;b2+tgbfpcDyZwu1P/AJ6fgUAAP//AwBQSwECLQAUAAYACAAAACEA2+H2y+4AAACFAQAAEwAAAAAA&#10;AAAAAAAAAAAAAAAAW0NvbnRlbnRfVHlwZXNdLnhtbFBLAQItABQABgAIAAAAIQBa9CxbvwAAABUB&#10;AAALAAAAAAAAAAAAAAAAAB8BAABfcmVscy8ucmVsc1BLAQItABQABgAIAAAAIQCR0aDUyAAAAN8A&#10;AAAPAAAAAAAAAAAAAAAAAAcCAABkcnMvZG93bnJldi54bWxQSwUGAAAAAAMAAwC3AAAA/AIAAAAA&#10;" path="m,l160020,r,1852930l,1852930,,e" fillcolor="#a5a5a5" stroked="f" strokeweight="0">
                  <v:path arrowok="t" textboxrect="0,0,160020,1852930"/>
                </v:shape>
                <v:shape id="Shape 395790" o:spid="_x0000_s1052" style="position:absolute;left:23088;top:19638;width:1600;height:4020;visibility:visible;mso-wrap-style:square;v-text-anchor:top" coordsize="160020,40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H2xwAAAN8AAAAPAAAAZHJzL2Rvd25yZXYueG1sRI/LisIw&#10;FIb3gu8QjuBGxlQdb9UoIiiDutGZxbg7NMe22JyUJmqdpzeLAZc//41vvqxNIe5Uudyygl43AkGc&#10;WJ1zquDne/MxAeE8ssbCMil4koPlotmYY6ztg490P/lUhBF2MSrIvC9jKV2SkUHXtSVx8C62MuiD&#10;rFKpK3yEcVPIfhSNpMGcw0OGJa0zSq6nm1Fw+/w9H/Zp50/L7eFY4ni3HSYjpdqtejUD4an27/B/&#10;+0srGEyH42kgCDyBBeTiBQAA//8DAFBLAQItABQABgAIAAAAIQDb4fbL7gAAAIUBAAATAAAAAAAA&#10;AAAAAAAAAAAAAABbQ29udGVudF9UeXBlc10ueG1sUEsBAi0AFAAGAAgAAAAhAFr0LFu/AAAAFQEA&#10;AAsAAAAAAAAAAAAAAAAAHwEAAF9yZWxzLy5yZWxzUEsBAi0AFAAGAAgAAAAhAOy0cfbHAAAA3wAA&#10;AA8AAAAAAAAAAAAAAAAABwIAAGRycy9kb3ducmV2LnhtbFBLBQYAAAAAAwADALcAAAD7AgAAAAA=&#10;" path="m,l160020,r,402082l,402082,,e" fillcolor="#ffc000" stroked="f" strokeweight="0">
                  <v:path arrowok="t" textboxrect="0,0,160020,402082"/>
                </v:shape>
                <v:shape id="Shape 395791" o:spid="_x0000_s1053" style="position:absolute;left:13228;top:19592;width:1585;height:4066;visibility:visible;mso-wrap-style:square;v-text-anchor:top" coordsize="158496,40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gKyAAAAN8AAAAPAAAAZHJzL2Rvd25yZXYueG1sRI/dasJA&#10;FITvBd9hOULvdKP1p6auUgpCkEDrzwMcsqdJavZsyK5J+vZdQfBymJlvmM2uN5VoqXGlZQXTSQSC&#10;OLO65FzB5bwfv4FwHlljZZkU/JGD3XY42GCsbcdHak8+FwHCLkYFhfd1LKXLCjLoJrYmDt6PbQz6&#10;IJtc6ga7ADeVnEXRUhosOSwUWNNnQdn1dDMKZr91wmn6feiW10T36WLOX+1cqZdR//EOwlPvn+FH&#10;O9EKXteL1XoK9z/hC8jtPwAAAP//AwBQSwECLQAUAAYACAAAACEA2+H2y+4AAACFAQAAEwAAAAAA&#10;AAAAAAAAAAAAAAAAW0NvbnRlbnRfVHlwZXNdLnhtbFBLAQItABQABgAIAAAAIQBa9CxbvwAAABUB&#10;AAALAAAAAAAAAAAAAAAAAB8BAABfcmVscy8ucmVsc1BLAQItABQABgAIAAAAIQCMdagKyAAAAN8A&#10;AAAPAAAAAAAAAAAAAAAAAAcCAABkcnMvZG93bnJldi54bWxQSwUGAAAAAAMAAwC3AAAA/AIAAAAA&#10;" path="m,l158496,r,406654l,406654,,e" fillcolor="#ffc000" stroked="f" strokeweight="0">
                  <v:path arrowok="t" textboxrect="0,0,158496,406654"/>
                </v:shape>
                <v:shape id="Shape 395792" o:spid="_x0000_s1054" style="position:absolute;left:32964;top:19135;width:1600;height:4523;visibility:visible;mso-wrap-style:square;v-text-anchor:top" coordsize="160020,45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UkxwAAAN8AAAAPAAAAZHJzL2Rvd25yZXYueG1sRI9Ba8JA&#10;EIXvhf6HZYTe6kZL1URXKYWAPfRQ9eJtyI7ZYHY2ZMeY/vtuodDj48373rzNbvStGqiPTWADs2kG&#10;irgKtuHawOlYPq9ARUG22AYmA98UYbd9fNhgYcOdv2g4SK0ShGOBBpxIV2gdK0ce4zR0xMm7hN6j&#10;JNnX2vZ4T3Df6nmWLbTHhlODw47eHVXXw82nN+qh+aTlYnW+oXyI25djfi6NeZqMb2tQQqP8H/+l&#10;99bAS/66zOfwuydBQG9/AAAA//8DAFBLAQItABQABgAIAAAAIQDb4fbL7gAAAIUBAAATAAAAAAAA&#10;AAAAAAAAAAAAAABbQ29udGVudF9UeXBlc10ueG1sUEsBAi0AFAAGAAgAAAAhAFr0LFu/AAAAFQEA&#10;AAsAAAAAAAAAAAAAAAAAHwEAAF9yZWxzLy5yZWxzUEsBAi0AFAAGAAgAAAAhAM4chSTHAAAA3wAA&#10;AA8AAAAAAAAAAAAAAAAABwIAAGRycy9kb3ducmV2LnhtbFBLBQYAAAAAAwADALcAAAD7AgAAAAA=&#10;" path="m,l160020,r,452375l,452375,,e" fillcolor="#ffc000" stroked="f" strokeweight="0">
                  <v:path arrowok="t" textboxrect="0,0,160020,452375"/>
                </v:shape>
                <v:shape id="Shape 395793" o:spid="_x0000_s1055" style="position:absolute;left:42839;top:18464;width:1600;height:5194;visibility:visible;mso-wrap-style:square;v-text-anchor:top" coordsize="16002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6xOxwAAAN8AAAAPAAAAZHJzL2Rvd25yZXYueG1sRI9Ba8JA&#10;EIXvBf/DMoK3ujHSaqKriFTwUrAqeh2yYxLMzobdbYz/vlso9Ph48743b7nuTSM6cr62rGAyTkAQ&#10;F1bXXCo4n3avcxA+IGtsLJOCJ3lYrwYvS8y1ffAXdcdQighhn6OCKoQ2l9IXFRn0Y9sSR+9mncEQ&#10;pSuldviIcNPINEnepcGaY0OFLW0rKu7HbxPf+DQpucPhrK9d033cs8tp3qZKjYb9ZgEiUB/+j//S&#10;e61gmr3Nsin87okQkKsfAAAA//8DAFBLAQItABQABgAIAAAAIQDb4fbL7gAAAIUBAAATAAAAAAAA&#10;AAAAAAAAAAAAAABbQ29udGVudF9UeXBlc10ueG1sUEsBAi0AFAAGAAgAAAAhAFr0LFu/AAAAFQEA&#10;AAsAAAAAAAAAAAAAAAAAHwEAAF9yZWxzLy5yZWxzUEsBAi0AFAAGAAgAAAAhAEbTrE7HAAAA3wAA&#10;AA8AAAAAAAAAAAAAAAAABwIAAGRycy9kb3ducmV2LnhtbFBLBQYAAAAAAwADALcAAAD7AgAAAAA=&#10;" path="m,l160020,r,519430l,519430,,e" fillcolor="#ffc000" stroked="f" strokeweight="0">
                  <v:path arrowok="t" textboxrect="0,0,160020,519430"/>
                </v:shape>
                <v:shape id="Shape 395794" o:spid="_x0000_s1056" style="position:absolute;left:52715;top:18449;width:1600;height:5209;visibility:visible;mso-wrap-style:square;v-text-anchor:top" coordsize="160020,52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LfvxwAAAN8AAAAPAAAAZHJzL2Rvd25yZXYueG1sRI/NbsIw&#10;EITvSLyDtUi9gRNa/gIGISRED1wKPMASL0lIvI5iE0Kfvq5UqcfRzHyjWW06U4mWGldYVhCPIhDE&#10;qdUFZwou5/1wDsJ5ZI2VZVLwIgebdb+3wkTbJ39Re/KZCBB2CSrIva8TKV2ak0E3sjVx8G62MeiD&#10;bDKpG3wGuKnkOIqm0mDBYSHHmnY5peXpYRSU++P3tr3TbRrH18l4djyURrJSb4NuuwThqfP/4b/2&#10;p1bwvpjMFh/w+yd8Abn+AQAA//8DAFBLAQItABQABgAIAAAAIQDb4fbL7gAAAIUBAAATAAAAAAAA&#10;AAAAAAAAAAAAAABbQ29udGVudF9UeXBlc10ueG1sUEsBAi0AFAAGAAgAAAAhAFr0LFu/AAAAFQEA&#10;AAsAAAAAAAAAAAAAAAAAHwEAAF9yZWxzLy5yZWxzUEsBAi0AFAAGAAgAAAAhAGIMt+/HAAAA3wAA&#10;AA8AAAAAAAAAAAAAAAAABwIAAGRycy9kb3ducmV2LnhtbFBLBQYAAAAAAwADALcAAAD7AgAAAAA=&#10;" path="m,l160020,r,520954l,520954,,e" fillcolor="#ffc000" stroked="f" strokeweight="0">
                  <v:path arrowok="t" textboxrect="0,0,160020,520954"/>
                </v:shape>
                <v:shape id="Shape 38457" o:spid="_x0000_s1057" style="position:absolute;left:6690;top:23658;width:49370;height:0;visibility:visible;mso-wrap-style:square;v-text-anchor:top" coordsize="4936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HQ2xgAAAN4AAAAPAAAAZHJzL2Rvd25yZXYueG1sRI9Ba8JA&#10;FITvBf/D8oTe6kZbq6auEguFgidTQY/P7DMJzb4NuxtN++u7BcHjMPPNMMt1bxpxIedrywrGowQE&#10;cWF1zaWC/dfH0xyED8gaG8uk4Ic8rFeDhyWm2l55R5c8lCKWsE9RQRVCm0rpi4oM+pFtiaN3ts5g&#10;iNKVUju8xnLTyEmSvEqDNceFClt6r6j4zjujYNMsDqes22YHzDfdrzxuI+mUehz22RuIQH24h2/0&#10;p1bwPH+ZzuD/TrwCcvUHAAD//wMAUEsBAi0AFAAGAAgAAAAhANvh9svuAAAAhQEAABMAAAAAAAAA&#10;AAAAAAAAAAAAAFtDb250ZW50X1R5cGVzXS54bWxQSwECLQAUAAYACAAAACEAWvQsW78AAAAVAQAA&#10;CwAAAAAAAAAAAAAAAAAfAQAAX3JlbHMvLnJlbHNQSwECLQAUAAYACAAAACEAOiB0NsYAAADeAAAA&#10;DwAAAAAAAAAAAAAAAAAHAgAAZHJzL2Rvd25yZXYueG1sUEsFBgAAAAADAAMAtwAAAPoCAAAAAA==&#10;" path="m,l4936998,e" filled="f" strokecolor="#d9d9d9" strokeweight="1pt">
                  <v:path arrowok="t" textboxrect="0,0,4936998,0"/>
                </v:shape>
                <v:shape id="Shape 38458" o:spid="_x0000_s1058" style="position:absolute;left:11626;top:7882;width:39496;height:5017;visibility:visible;mso-wrap-style:square;v-text-anchor:top" coordsize="3949573,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ENxAAAAN4AAAAPAAAAZHJzL2Rvd25yZXYueG1sRE9NawIx&#10;EL0X+h/CCL3VrLWushpFigUFL9p68DZsxs3iZrJNUl3/vTkIHh/ve7bobCMu5EPtWMGgn4EgLp2u&#10;uVLw+/P9PgERIrLGxjEpuFGAxfz1ZYaFdlfe0WUfK5FCOBSowMTYFlKG0pDF0HctceJOzluMCfpK&#10;ao/XFG4b+ZFlubRYc2ow2NKXofK8/7cK/LJebXa569xxvM7tdvRnDttcqbdet5yCiNTFp/jhXmsF&#10;w8nnKO1Nd9IVkPM7AAAA//8DAFBLAQItABQABgAIAAAAIQDb4fbL7gAAAIUBAAATAAAAAAAAAAAA&#10;AAAAAAAAAABbQ29udGVudF9UeXBlc10ueG1sUEsBAi0AFAAGAAgAAAAhAFr0LFu/AAAAFQEAAAsA&#10;AAAAAAAAAAAAAAAAHwEAAF9yZWxzLy5yZWxzUEsBAi0AFAAGAAgAAAAhANSqcQ3EAAAA3gAAAA8A&#10;AAAAAAAAAAAAAAAABwIAAGRycy9kb3ducmV2LnhtbFBLBQYAAAAAAwADALcAAAD4AgAAAAA=&#10;" path="m,501650l987679,233680,1975231,73660,2962783,r986790,8128e" filled="f" strokecolor="#3cc" strokeweight="2pt">
                  <v:path arrowok="t" textboxrect="0,0,3949573,501650"/>
                </v:shape>
                <v:shape id="Shape 38459" o:spid="_x0000_s1059" style="position:absolute;left:11422;top:12702;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ppyQAAAN4AAAAPAAAAZHJzL2Rvd25yZXYueG1sRI9PTwIx&#10;FMTvJn6H5pFwky6iAiuFGMSgcuFfYry9tM/djdvXta2w+umpiQnHycz8JjOZtbYWB/Khcqyg38tA&#10;EGtnKi4U7HdPVyMQISIbrB2Tgh8KMJteXkwwN+7IGzpsYyEShEOOCsoYm1zKoEuyGHquIU7eh/MW&#10;Y5K+kMbjMcFtLa+z7E5arDgtlNjQvCT9uf22Cn5Jvy4Hb3a9aJbt1/BRv/hVfFeq22kf7kFEauM5&#10;/N9+NgoGo5vbMfzdSVdATk8AAAD//wMAUEsBAi0AFAAGAAgAAAAhANvh9svuAAAAhQEAABMAAAAA&#10;AAAAAAAAAAAAAAAAAFtDb250ZW50X1R5cGVzXS54bWxQSwECLQAUAAYACAAAACEAWvQsW78AAAAV&#10;AQAACwAAAAAAAAAAAAAAAAAfAQAAX3JlbHMvLnJlbHNQSwECLQAUAAYACAAAACEAiKM6ackAAADe&#10;AAAADwAAAAAAAAAAAAAAAAAHAgAAZHJzL2Rvd25yZXYueG1sUEsFBgAAAAADAAMAtwAAAP0CAAAA&#10;AA==&#10;" path="m18288,c28448,,36576,8255,36576,18288v,10160,-8128,18288,-18288,18288c8128,36576,,28448,,18288,,8255,8128,,18288,xe" fillcolor="#3cc" stroked="f" strokeweight="0">
                  <v:path arrowok="t" textboxrect="0,0,36576,36576"/>
                </v:shape>
                <v:shape id="Shape 38460" o:spid="_x0000_s1060" style="position:absolute;left:11422;top:12702;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SNnxgAAAN4AAAAPAAAAZHJzL2Rvd25yZXYueG1sRI/LagIx&#10;FIb3Bd8hHKEbqRlbHWRqFCm1lXalHej2MDnOxcnJkEQd+/RmIXT589/4FqvetOJMzteWFUzGCQji&#10;wuqaSwX5z+ZpDsIHZI2tZVJwJQ+r5eBhgZm2F97ReR9KEUfYZ6igCqHLpPRFRQb92HbE0TtYZzBE&#10;6UqpHV7iuGnlc5Kk0mDN8aHCjt4qKo77k1Hwcc2LP/s1a/yocXnzPv313/ip1OOwX7+CCNSH//C9&#10;vdUKXubTNAJEnIgCcnkDAAD//wMAUEsBAi0AFAAGAAgAAAAhANvh9svuAAAAhQEAABMAAAAAAAAA&#10;AAAAAAAAAAAAAFtDb250ZW50X1R5cGVzXS54bWxQSwECLQAUAAYACAAAACEAWvQsW78AAAAVAQAA&#10;CwAAAAAAAAAAAAAAAAAfAQAAX3JlbHMvLnJlbHNQSwECLQAUAAYACAAAACEAZwUjZ8YAAADeAAAA&#10;DwAAAAAAAAAAAAAAAAAHAgAAZHJzL2Rvd25yZXYueG1sUEsFBgAAAAADAAMAtwAAAPoCAAAAAA==&#10;" path="m36576,18288v,10160,-8128,18288,-18288,18288c8128,36576,,28448,,18288,,8255,8128,,18288,,28448,,36576,8255,36576,18288xe" filled="f" strokecolor="#3cc" strokeweight="2pt">
                  <v:path arrowok="t" textboxrect="0,0,36576,36576"/>
                </v:shape>
                <v:shape id="Shape 38461" o:spid="_x0000_s1061" style="position:absolute;left:21297;top:10020;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fzSyAAAAN4AAAAPAAAAZHJzL2Rvd25yZXYueG1sRI9PawIx&#10;FMTvBb9DeIK3mlWLla1RRC32z6VVofT2SF53FzcvaxJ1209vCoUeh5n5DTOdt7YWZ/Khcqxg0M9A&#10;EGtnKi4U7HePtxMQISIbrB2Tgm8KMJ91bqaYG3fhdzpvYyEShEOOCsoYm1zKoEuyGPquIU7el/MW&#10;Y5K+kMbjJcFtLYdZNpYWK04LJTa0LEkftier4If0y2b0Yd/WzaY93q/0s3+Nn0r1uu3iAUSkNv6H&#10;/9pPRsFocjcewO+ddAXk7AoAAP//AwBQSwECLQAUAAYACAAAACEA2+H2y+4AAACFAQAAEwAAAAAA&#10;AAAAAAAAAAAAAAAAW0NvbnRlbnRfVHlwZXNdLnhtbFBLAQItABQABgAIAAAAIQBa9CxbvwAAABUB&#10;AAALAAAAAAAAAAAAAAAAAB8BAABfcmVscy8ucmVsc1BLAQItABQABgAIAAAAIQC4ufzSyAAAAN4A&#10;AAAPAAAAAAAAAAAAAAAAAAcCAABkcnMvZG93bnJldi54bWxQSwUGAAAAAAMAAwC3AAAA/AIAAAAA&#10;" path="m18288,c28448,,36576,8255,36576,18288v,10160,-8128,18288,-18288,18288c8128,36576,,28448,,18288,,8255,8128,,18288,xe" fillcolor="#3cc" stroked="f" strokeweight="0">
                  <v:path arrowok="t" textboxrect="0,0,36576,36576"/>
                </v:shape>
                <v:shape id="Shape 38462" o:spid="_x0000_s1062" style="position:absolute;left:21297;top:10020;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iLxwAAAN4AAAAPAAAAZHJzL2Rvd25yZXYueG1sRI9PawIx&#10;FMTvBb9DeEIvUrNVK7IapZS2Fj3VLnh9bJ77x83LkqS6+ulNQehxmJnfMItVZxpxIucrywqehwkI&#10;4tzqigsF2c/H0wyED8gaG8uk4EIeVsvewwJTbc/8TaddKESEsE9RQRlCm0rp85IM+qFtiaN3sM5g&#10;iNIVUjs8R7hp5ChJptJgxXGhxJbeSsqPu1+j4POS5Ve7ean9oHZZ/T7Z+y2ulXrsd69zEIG68B++&#10;t7+0gvFsMh3B3514BeTyBgAA//8DAFBLAQItABQABgAIAAAAIQDb4fbL7gAAAIUBAAATAAAAAAAA&#10;AAAAAAAAAAAAAABbQ29udGVudF9UeXBlc10ueG1sUEsBAi0AFAAGAAgAAAAhAFr0LFu/AAAAFQEA&#10;AAsAAAAAAAAAAAAAAAAAHwEAAF9yZWxzLy5yZWxzUEsBAi0AFAAGAAgAAAAhAPibGIvHAAAA3gAA&#10;AA8AAAAAAAAAAAAAAAAABwIAAGRycy9kb3ducmV2LnhtbFBLBQYAAAAAAwADALcAAAD7AgAAAAA=&#10;" path="m36576,18288v,10160,-8128,18288,-18288,18288c8128,36576,,28448,,18288,,8255,8128,,18288,,28448,,36576,8255,36576,18288xe" filled="f" strokecolor="#3cc" strokeweight="2pt">
                  <v:path arrowok="t" textboxrect="0,0,36576,36576"/>
                </v:shape>
                <v:shape id="Shape 38463" o:spid="_x0000_s1063" style="position:absolute;left:31173;top:8420;width:366;height:365;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8c+yQAAAN4AAAAPAAAAZHJzL2Rvd25yZXYueG1sRI9PSwMx&#10;FMTvQr9DeAVvNlu31LI2LaKW/vGiVRBvj+R1d3Hzsiax3fbTm0LB4zAzv2Gm8842Yk8+1I4VDAcZ&#10;CGLtTM2lgo/3xc0ERIjIBhvHpOBIAeaz3tUUC+MO/Eb7bSxFgnAoUEEVY1tIGXRFFsPAtcTJ2zlv&#10;MSbpS2k8HhLcNvI2y8bSYs1pocKWHivS39tfq+BEerPMP+3rc7vsfu6e9Nq/xC+lrvvdwz2ISF38&#10;D1/aK6Mgn4zGOZzvpCsgZ38AAAD//wMAUEsBAi0AFAAGAAgAAAAhANvh9svuAAAAhQEAABMAAAAA&#10;AAAAAAAAAAAAAAAAAFtDb250ZW50X1R5cGVzXS54bWxQSwECLQAUAAYACAAAACEAWvQsW78AAAAV&#10;AQAACwAAAAAAAAAAAAAAAAAfAQAAX3JlbHMvLnJlbHNQSwECLQAUAAYACAAAACEAJyfHPskAAADe&#10;AAAADwAAAAAAAAAAAAAAAAAHAgAAZHJzL2Rvd25yZXYueG1sUEsFBgAAAAADAAMAtwAAAP0CAAAA&#10;AA==&#10;" path="m18288,c28448,,36576,8255,36576,18288v,10161,-8128,18288,-18288,18288c8128,36576,,28449,,18288,,8255,8128,,18288,xe" fillcolor="#3cc" stroked="f" strokeweight="0">
                  <v:path arrowok="t" textboxrect="0,0,36576,36576"/>
                </v:shape>
                <v:shape id="Shape 38464" o:spid="_x0000_s1064" style="position:absolute;left:31173;top:8420;width:366;height:365;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VkyAAAAN4AAAAPAAAAZHJzL2Rvd25yZXYueG1sRI9PawIx&#10;FMTvBb9DeIIXqdm2q8jWKKVUW/RUu9DrY/O6f7p5WZKoq5/eFIQeh5n5DbNY9aYVR3K+tqzgYZKA&#10;IC6srrlUkH+t7+cgfEDW2FomBWfysFoO7haYaXviTzruQykihH2GCqoQukxKX1Rk0E9sRxy9H+sM&#10;hihdKbXDU4SbVj4myUwarDkuVNjRa0XF7/5gFGzOeXGx22njx43Lm7f02+/wXanRsH95BhGoD//h&#10;W/tDK3iap7MU/u7EKyCXVwAAAP//AwBQSwECLQAUAAYACAAAACEA2+H2y+4AAACFAQAAEwAAAAAA&#10;AAAAAAAAAAAAAAAAW0NvbnRlbnRfVHlwZXNdLnhtbFBLAQItABQABgAIAAAAIQBa9CxbvwAAABUB&#10;AAALAAAAAAAAAAAAAAAAAB8BAABfcmVscy8ucmVsc1BLAQItABQABgAIAAAAIQAYPiVkyAAAAN4A&#10;AAAPAAAAAAAAAAAAAAAAAAcCAABkcnMvZG93bnJldi54bWxQSwUGAAAAAAMAAwC3AAAA/AIAAAAA&#10;" path="m36576,18288v,10161,-8128,18288,-18288,18288c8128,36576,,28449,,18288,,8255,8128,,18288,,28448,,36576,8255,36576,18288xe" filled="f" strokecolor="#3cc" strokeweight="2pt">
                  <v:path arrowok="t" textboxrect="0,0,36576,36576"/>
                </v:shape>
                <v:shape id="Shape 38465" o:spid="_x0000_s1065" style="position:absolute;left:41048;top:7688;width:366;height:366;visibility:visible;mso-wrap-style:square;v-text-anchor:top" coordsize="36576,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PwwAAAN4AAAAPAAAAZHJzL2Rvd25yZXYueG1sRE9ba8Iw&#10;FH4X/A/hCL5pujlFO6OoIIhP8zKGb4fmrC1rTrok2u7fm4Hg48d3ny9bU4kbOV9aVvAyTEAQZ1aX&#10;nCs4n7aDKQgfkDVWlknBH3lYLrqdOabaNnyg2zHkIoawT1FBEUKdSumzggz6oa2JI/dtncEQocul&#10;dtjEcFPJ1ySZSIMlx4YCa9oUlP0cr0bB/hIXfX2unZHN7FTtfj8SW66U6vfa1TuIQG14ih/unVYw&#10;mr5NxvB/J14BubgDAAD//wMAUEsBAi0AFAAGAAgAAAAhANvh9svuAAAAhQEAABMAAAAAAAAAAAAA&#10;AAAAAAAAAFtDb250ZW50X1R5cGVzXS54bWxQSwECLQAUAAYACAAAACEAWvQsW78AAAAVAQAACwAA&#10;AAAAAAAAAAAAAAAfAQAAX3JlbHMvLnJlbHNQSwECLQAUAAYACAAAACEAFaifj8MAAADeAAAADwAA&#10;AAAAAAAAAAAAAAAHAgAAZHJzL2Rvd25yZXYueG1sUEsFBgAAAAADAAMAtwAAAPcCAAAAAA==&#10;" path="m18288,c28448,,36576,8255,36576,18288v,10160,-8128,18287,-18288,18287c8128,36575,,28448,,18288,,8255,8128,,18288,xe" fillcolor="#3cc" stroked="f" strokeweight="0">
                  <v:path arrowok="t" textboxrect="0,0,36576,36575"/>
                </v:shape>
                <v:shape id="Shape 38466" o:spid="_x0000_s1066" style="position:absolute;left:41048;top:7688;width:366;height:366;visibility:visible;mso-wrap-style:square;v-text-anchor:top" coordsize="36576,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09xwAAAN4AAAAPAAAAZHJzL2Rvd25yZXYueG1sRI9Ba8JA&#10;FITvgv9heYVepG6iktroKkFo6cWDsaXXR/aZhGbfht01pv++Wyh4HGbmG2a7H00nBnK+tawgnScg&#10;iCurW64VfJxfn9YgfEDW2FkmBT/kYb+bTraYa3vjEw1lqEWEsM9RQRNCn0vpq4YM+rntiaN3sc5g&#10;iNLVUju8Rbjp5CJJMmmw5bjQYE+Hhqrv8moUuO5Z0ngavt4+Z0Vx5DZdvpSpUo8PY7EBEWgM9/B/&#10;+10rWK5XWQZ/d+IVkLtfAAAA//8DAFBLAQItABQABgAIAAAAIQDb4fbL7gAAAIUBAAATAAAAAAAA&#10;AAAAAAAAAAAAAABbQ29udGVudF9UeXBlc10ueG1sUEsBAi0AFAAGAAgAAAAhAFr0LFu/AAAAFQEA&#10;AAsAAAAAAAAAAAAAAAAAHwEAAF9yZWxzLy5yZWxzUEsBAi0AFAAGAAgAAAAhAEWGnT3HAAAA3gAA&#10;AA8AAAAAAAAAAAAAAAAABwIAAGRycy9kb3ducmV2LnhtbFBLBQYAAAAAAwADALcAAAD7AgAAAAA=&#10;" path="m36576,18288v,10160,-8128,18287,-18288,18287c8128,36575,,28448,,18288,,8255,8128,,18288,,28448,,36576,8255,36576,18288xe" filled="f" strokecolor="#3cc" strokeweight="2pt">
                  <v:path arrowok="t" textboxrect="0,0,36576,36575"/>
                </v:shape>
                <v:shape id="Shape 38467" o:spid="_x0000_s1067" style="position:absolute;left:50924;top:7764;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E9yAAAAN4AAAAPAAAAZHJzL2Rvd25yZXYueG1sRI9BawIx&#10;FITvBf9DeEJvNasWla1RRC3W9tKqUHp7JK+7i5uXNUl121/fFIQeh5n5hpnOW1uLM/lQOVbQ72Ug&#10;iLUzFRcKDvvHuwmIEJEN1o5JwTcFmM86N1PMjbvwG513sRAJwiFHBWWMTS5l0CVZDD3XECfv03mL&#10;MUlfSOPxkuC2loMsG0mLFaeFEhtalqSPuy+r4If082b4bl/XzaY9jVd661/ih1K33XbxACJSG//D&#10;1/aTUTCc3I/G8HcnXQE5+wUAAP//AwBQSwECLQAUAAYACAAAACEA2+H2y+4AAACFAQAAEwAAAAAA&#10;AAAAAAAAAAAAAAAAW0NvbnRlbnRfVHlwZXNdLnhtbFBLAQItABQABgAIAAAAIQBa9CxbvwAAABUB&#10;AAALAAAAAAAAAAAAAAAAAB8BAABfcmVscy8ucmVsc1BLAQItABQABgAIAAAAIQBYHME9yAAAAN4A&#10;AAAPAAAAAAAAAAAAAAAAAAcCAABkcnMvZG93bnJldi54bWxQSwUGAAAAAAMAAwC3AAAA/AIAAAAA&#10;" path="m18288,c28448,,36576,8255,36576,18288v,10160,-8128,18288,-18288,18288c8128,36576,,28448,,18288,,8255,8128,,18288,xe" fillcolor="#3cc" stroked="f" strokeweight="0">
                  <v:path arrowok="t" textboxrect="0,0,36576,36576"/>
                </v:shape>
                <v:shape id="Shape 38468" o:spid="_x0000_s1068" style="position:absolute;left:50924;top:7764;width:366;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y9hxQAAAN4AAAAPAAAAZHJzL2Rvd25yZXYueG1sRE/LagIx&#10;FN0X/IdwhW6kZmx1kKlRpNRW2pV2oNvL5DoPJzdDEnXs15uF0OXhvBer3rTiTM7XlhVMxgkI4sLq&#10;mksF+c/maQ7CB2SNrWVScCUPq+XgYYGZthfe0XkfShFD2GeooAqhy6T0RUUG/dh2xJE7WGcwROhK&#10;qR1eYrhp5XOSpNJgzbGhwo7eKiqO+5NR8HHNiz/7NWv8qHF58z799d/4qdTjsF+/ggjUh3/x3b3V&#10;Cl7m0zTujXfiFZDLGwAAAP//AwBQSwECLQAUAAYACAAAACEA2+H2y+4AAACFAQAAEwAAAAAAAAAA&#10;AAAAAAAAAAAAW0NvbnRlbnRfVHlwZXNdLnhtbFBLAQItABQABgAIAAAAIQBa9CxbvwAAABUBAAAL&#10;AAAAAAAAAAAAAAAAAB8BAABfcmVscy8ucmVsc1BLAQItABQABgAIAAAAIQCZcy9hxQAAAN4AAAAP&#10;AAAAAAAAAAAAAAAAAAcCAABkcnMvZG93bnJldi54bWxQSwUGAAAAAAMAAwC3AAAA+QIAAAAA&#10;" path="m36576,18288v,10160,-8128,18288,-18288,18288c8128,36576,,28448,,18288,,8255,8128,,18288,,28448,,36576,8255,36576,18288xe" filled="f" strokecolor="#3cc" strokeweight="2pt">
                  <v:path arrowok="t" textboxrect="0,0,36576,36576"/>
                </v:shape>
                <v:rect id="Rectangle 38469" o:spid="_x0000_s1069" style="position:absolute;left:57015;top:23182;width:102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FBxwAAAN4AAAAPAAAAZHJzL2Rvd25yZXYueG1sRI9Ba8JA&#10;FITvgv9heYI33dgWSaKriG3RY9WC9fbIviah2bchu5ror3eFgsdhZr5h5svOVOJCjSstK5iMIxDE&#10;mdUl5wq+D5+jGITzyBory6TgSg6Wi35vjqm2Le/osve5CBB2KSoovK9TKV1WkEE3tjVx8H5tY9AH&#10;2eRSN9gGuKnkSxRNpcGSw0KBNa0Lyv72Z6NgE9ern629tXn1cdocv47J+yHxSg0H3WoGwlPnn+H/&#10;9lYreI3fpgk87oQrIBd3AAAA//8DAFBLAQItABQABgAIAAAAIQDb4fbL7gAAAIUBAAATAAAAAAAA&#10;AAAAAAAAAAAAAABbQ29udGVudF9UeXBlc10ueG1sUEsBAi0AFAAGAAgAAAAhAFr0LFu/AAAAFQEA&#10;AAsAAAAAAAAAAAAAAAAAHwEAAF9yZWxzLy5yZWxzUEsBAi0AFAAGAAgAAAAhAOeqcUHHAAAA3gAA&#10;AA8AAAAAAAAAAAAAAAAABwIAAGRycy9kb3ducmV2LnhtbFBLBQYAAAAAAwADALcAAAD7AgAAAAA=&#10;" filled="f" stroked="f">
                  <v:textbox inset="0,0,0,0">
                    <w:txbxContent>
                      <w:p w:rsidR="002010BA" w:rsidRDefault="002010BA">
                        <w:pPr>
                          <w:spacing w:after="160" w:line="259" w:lineRule="auto"/>
                          <w:ind w:left="0" w:firstLine="0"/>
                          <w:jc w:val="left"/>
                        </w:pPr>
                        <w:r>
                          <w:rPr>
                            <w:rFonts w:ascii="Calibri" w:eastAsia="Calibri" w:hAnsi="Calibri" w:cs="Calibri"/>
                            <w:color w:val="333333"/>
                            <w:sz w:val="16"/>
                          </w:rPr>
                          <w:t xml:space="preserve"> '-</w:t>
                        </w:r>
                      </w:p>
                    </w:txbxContent>
                  </v:textbox>
                </v:rect>
                <v:rect id="Rectangle 38470" o:spid="_x0000_s1070" style="position:absolute;left:57015;top:19048;width:271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4BxgAAAN4AAAAPAAAAZHJzL2Rvd25yZXYueG1sRI/LasJA&#10;FIb3hb7DcAru6qStaIyOIq2iS2+g7g6ZYxKaORMyo4k+vbMQXP78N77xtDWluFLtCssKvroRCOLU&#10;6oIzBfvd4jMG4TyyxtIyKbiRg+nk/W2MibYNb+i69ZkII+wSVJB7XyVSujQng65rK+LgnW1t0AdZ&#10;Z1LX2IRxU8rvKOpLgwWHhxwr+s0p/d9ejIJlXM2OK3tvsnJ+Wh7Wh+HfbuiV6ny0sxEIT61/hZ/t&#10;lVbwE/cGASDgBBSQkwcAAAD//wMAUEsBAi0AFAAGAAgAAAAhANvh9svuAAAAhQEAABMAAAAAAAAA&#10;AAAAAAAAAAAAAFtDb250ZW50X1R5cGVzXS54bWxQSwECLQAUAAYACAAAACEAWvQsW78AAAAVAQAA&#10;CwAAAAAAAAAAAAAAAAAfAQAAX3JlbHMvLnJlbHNQSwECLQAUAAYACAAAACEA80lOAcYAAADeAAAA&#10;DwAAAAAAAAAAAAAAAAAHAgAAZHJzL2Rvd25yZXYueG1sUEsFBgAAAAADAAMAtwAAAPoCAAAAAA==&#10;" filled="f" stroked="f">
                  <v:textbox inset="0,0,0,0">
                    <w:txbxContent>
                      <w:p w:rsidR="002010BA" w:rsidRDefault="002010BA">
                        <w:pPr>
                          <w:spacing w:after="160" w:line="259" w:lineRule="auto"/>
                          <w:ind w:left="0" w:firstLine="0"/>
                          <w:jc w:val="left"/>
                        </w:pPr>
                        <w:r>
                          <w:rPr>
                            <w:rFonts w:ascii="Calibri" w:eastAsia="Calibri" w:hAnsi="Calibri" w:cs="Calibri"/>
                            <w:color w:val="333333"/>
                            <w:sz w:val="16"/>
                          </w:rPr>
                          <w:t xml:space="preserve"> 5.00</w:t>
                        </w:r>
                      </w:p>
                    </w:txbxContent>
                  </v:textbox>
                </v:rect>
                <v:rect id="Rectangle 38471" o:spid="_x0000_s1071" style="position:absolute;left:57015;top:14916;width:338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uayAAAAN4AAAAPAAAAZHJzL2Rvd25yZXYueG1sRI9Pa8JA&#10;FMTvQr/D8gredJNa2phmFVGLHv1TsL09sq9JaPZtyK4m+um7hYLHYWZ+w2Tz3tTiQq2rLCuIxxEI&#10;4tzqigsFH8f3UQLCeWSNtWVScCUH89nDIMNU2473dDn4QgQIuxQVlN43qZQuL8mgG9uGOHjftjXo&#10;g2wLqVvsAtzU8imKXqTBisNCiQ0tS8p/DmejYJM0i8+tvXVFvf7anHan6eo49UoNH/vFGwhPvb+H&#10;/9tbrWCSPL/G8HcnXAE5+wUAAP//AwBQSwECLQAUAAYACAAAACEA2+H2y+4AAACFAQAAEwAAAAAA&#10;AAAAAAAAAAAAAAAAW0NvbnRlbnRfVHlwZXNdLnhtbFBLAQItABQABgAIAAAAIQBa9CxbvwAAABUB&#10;AAALAAAAAAAAAAAAAAAAAB8BAABfcmVscy8ucmVsc1BLAQItABQABgAIAAAAIQCcBeuayAAAAN4A&#10;AAAPAAAAAAAAAAAAAAAAAAcCAABkcnMvZG93bnJldi54bWxQSwUGAAAAAAMAAwC3AAAA/AIAAAAA&#10;" filled="f" stroked="f">
                  <v:textbox inset="0,0,0,0">
                    <w:txbxContent>
                      <w:p w:rsidR="002010BA" w:rsidRDefault="002010BA">
                        <w:pPr>
                          <w:spacing w:after="160" w:line="259" w:lineRule="auto"/>
                          <w:ind w:left="0" w:firstLine="0"/>
                          <w:jc w:val="left"/>
                        </w:pPr>
                        <w:r>
                          <w:rPr>
                            <w:rFonts w:ascii="Calibri" w:eastAsia="Calibri" w:hAnsi="Calibri" w:cs="Calibri"/>
                            <w:color w:val="333333"/>
                            <w:sz w:val="16"/>
                          </w:rPr>
                          <w:t xml:space="preserve"> 10.00</w:t>
                        </w:r>
                      </w:p>
                    </w:txbxContent>
                  </v:textbox>
                </v:rect>
                <v:rect id="Rectangle 38472" o:spid="_x0000_s1072" style="position:absolute;left:57015;top:10782;width:338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3XtyAAAAN4AAAAPAAAAZHJzL2Rvd25yZXYueG1sRI9ba8JA&#10;FITfhf6H5Qi+6cYLNqauIl7QR6sF27dD9jQJzZ4N2dVEf323IPRxmJlvmPmyNaW4Ue0KywqGgwgE&#10;cWp1wZmCj/OuH4NwHlljaZkU3MnBcvHSmWOibcPvdDv5TAQIuwQV5N5XiZQuzcmgG9iKOHjftjbo&#10;g6wzqWtsAtyUchRFU2mw4LCQY0XrnNKf09Uo2MfV6vNgH01Wbr/2l+NltjnPvFK9brt6A+Gp9f/h&#10;Z/ugFYzjyesI/u6EKyAXvwAAAP//AwBQSwECLQAUAAYACAAAACEA2+H2y+4AAACFAQAAEwAAAAAA&#10;AAAAAAAAAAAAAAAAW0NvbnRlbnRfVHlwZXNdLnhtbFBLAQItABQABgAIAAAAIQBa9CxbvwAAABUB&#10;AAALAAAAAAAAAAAAAAAAAB8BAABfcmVscy8ucmVsc1BLAQItABQABgAIAAAAIQBs13XtyAAAAN4A&#10;AAAPAAAAAAAAAAAAAAAAAAcCAABkcnMvZG93bnJldi54bWxQSwUGAAAAAAMAAwC3AAAA/AIAAAAA&#10;" filled="f" stroked="f">
                  <v:textbox inset="0,0,0,0">
                    <w:txbxContent>
                      <w:p w:rsidR="002010BA" w:rsidRDefault="002010BA">
                        <w:pPr>
                          <w:spacing w:after="160" w:line="259" w:lineRule="auto"/>
                          <w:ind w:left="0" w:firstLine="0"/>
                          <w:jc w:val="left"/>
                        </w:pPr>
                        <w:r>
                          <w:rPr>
                            <w:rFonts w:ascii="Calibri" w:eastAsia="Calibri" w:hAnsi="Calibri" w:cs="Calibri"/>
                            <w:color w:val="333333"/>
                            <w:sz w:val="16"/>
                          </w:rPr>
                          <w:t xml:space="preserve"> 15.00</w:t>
                        </w:r>
                      </w:p>
                    </w:txbxContent>
                  </v:textbox>
                </v:rect>
                <v:rect id="Rectangle 38473" o:spid="_x0000_s1073" style="position:absolute;left:57015;top:6652;width:338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9B2xwAAAN4AAAAPAAAAZHJzL2Rvd25yZXYueG1sRI9Pa8JA&#10;FMTvhX6H5RW81U1VNKauIv5Bj1YF9fbIviah2bchu5rop+8WhB6HmfkNM5m1phQ3ql1hWcFHNwJB&#10;nFpdcKbgeFi/xyCcR9ZYWiYFd3Iwm76+TDDRtuEvuu19JgKEXYIKcu+rREqX5mTQdW1FHLxvWxv0&#10;QdaZ1DU2AW5K2YuioTRYcFjIsaJFTunP/moUbOJqft7aR5OVq8vmtDuNl4exV6rz1s4/QXhq/X/4&#10;2d5qBf14MOrD351wBeT0FwAA//8DAFBLAQItABQABgAIAAAAIQDb4fbL7gAAAIUBAAATAAAAAAAA&#10;AAAAAAAAAAAAAABbQ29udGVudF9UeXBlc10ueG1sUEsBAi0AFAAGAAgAAAAhAFr0LFu/AAAAFQEA&#10;AAsAAAAAAAAAAAAAAAAAHwEAAF9yZWxzLy5yZWxzUEsBAi0AFAAGAAgAAAAhAAOb0HbHAAAA3gAA&#10;AA8AAAAAAAAAAAAAAAAABwIAAGRycy9kb3ducmV2LnhtbFBLBQYAAAAAAwADALcAAAD7AgAAAAA=&#10;" filled="f" stroked="f">
                  <v:textbox inset="0,0,0,0">
                    <w:txbxContent>
                      <w:p w:rsidR="002010BA" w:rsidRDefault="002010BA">
                        <w:pPr>
                          <w:spacing w:after="160" w:line="259" w:lineRule="auto"/>
                          <w:ind w:left="0" w:firstLine="0"/>
                          <w:jc w:val="left"/>
                        </w:pPr>
                        <w:r>
                          <w:rPr>
                            <w:rFonts w:ascii="Calibri" w:eastAsia="Calibri" w:hAnsi="Calibri" w:cs="Calibri"/>
                            <w:color w:val="333333"/>
                            <w:sz w:val="16"/>
                          </w:rPr>
                          <w:t xml:space="preserve"> 20.00</w:t>
                        </w:r>
                      </w:p>
                    </w:txbxContent>
                  </v:textbox>
                </v:rect>
                <v:rect id="Rectangle 38474" o:spid="_x0000_s1074" style="position:absolute;left:57015;top:2519;width:338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gCyAAAAN4AAAAPAAAAZHJzL2Rvd25yZXYueG1sRI9Pa8JA&#10;FMTvhX6H5RW81U1VbEyzEfEPerRasL09sq9JaPZtyK4m7ad3BaHHYWZ+w6Tz3tTiQq2rLCt4GUYg&#10;iHOrKy4UfBw3zzEI55E11pZJwS85mGePDykm2nb8TpeDL0SAsEtQQel9k0jp8pIMuqFtiIP3bVuD&#10;Psi2kLrFLsBNLUdRNJUGKw4LJTa0LCn/OZyNgm3cLD539q8r6vXX9rQ/zVbHmVdq8NQv3kB46v1/&#10;+N7eaQXjePI6gdudcAVkdgUAAP//AwBQSwECLQAUAAYACAAAACEA2+H2y+4AAACFAQAAEwAAAAAA&#10;AAAAAAAAAAAAAAAAW0NvbnRlbnRfVHlwZXNdLnhtbFBLAQItABQABgAIAAAAIQBa9CxbvwAAABUB&#10;AAALAAAAAAAAAAAAAAAAAB8BAABfcmVscy8ucmVsc1BLAQItABQABgAIAAAAIQCMckgCyAAAAN4A&#10;AAAPAAAAAAAAAAAAAAAAAAcCAABkcnMvZG93bnJldi54bWxQSwUGAAAAAAMAAwC3AAAA/AIAAAAA&#10;" filled="f" stroked="f">
                  <v:textbox inset="0,0,0,0">
                    <w:txbxContent>
                      <w:p w:rsidR="002010BA" w:rsidRDefault="002010BA">
                        <w:pPr>
                          <w:spacing w:after="160" w:line="259" w:lineRule="auto"/>
                          <w:ind w:left="0" w:firstLine="0"/>
                          <w:jc w:val="left"/>
                        </w:pPr>
                        <w:r>
                          <w:rPr>
                            <w:rFonts w:ascii="Calibri" w:eastAsia="Calibri" w:hAnsi="Calibri" w:cs="Calibri"/>
                            <w:color w:val="333333"/>
                            <w:sz w:val="16"/>
                          </w:rPr>
                          <w:t xml:space="preserve"> 25.00</w:t>
                        </w:r>
                      </w:p>
                    </w:txbxContent>
                  </v:textbox>
                </v:rect>
                <v:rect id="Rectangle 38475" o:spid="_x0000_s1075" style="position:absolute;left:3947;top:23182;width:23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2ZxwAAAN4AAAAPAAAAZHJzL2Rvd25yZXYueG1sRI9Ba8JA&#10;FITvhf6H5RW81U1r1Zi6itSKHq0K6u2RfU1Cs29DdjXRX+8KQo/DzHzDjKetKcWZaldYVvDWjUAQ&#10;p1YXnCnYbRevMQjnkTWWlknBhRxMJ89PY0y0bfiHzhufiQBhl6CC3PsqkdKlORl0XVsRB+/X1gZ9&#10;kHUmdY1NgJtSvkfRQBosOCzkWNFXTunf5mQULONqdljZa5OV38flfr0fzbcjr1TnpZ19gvDU+v/w&#10;o73SCnrxx7AP9zvhCsjJDQAA//8DAFBLAQItABQABgAIAAAAIQDb4fbL7gAAAIUBAAATAAAAAAAA&#10;AAAAAAAAAAAAAABbQ29udGVudF9UeXBlc10ueG1sUEsBAi0AFAAGAAgAAAAhAFr0LFu/AAAAFQEA&#10;AAsAAAAAAAAAAAAAAAAAHwEAAF9yZWxzLy5yZWxzUEsBAi0AFAAGAAgAAAAhAOM+7ZnHAAAA3gAA&#10;AA8AAAAAAAAAAAAAAAAABwIAAGRycy9kb3ducmV2LnhtbFBLBQYAAAAAAwADALcAAAD7AgAAAAA=&#10;" filled="f" stroked="f">
                  <v:textbox inset="0,0,0,0">
                    <w:txbxContent>
                      <w:p w:rsidR="002010BA" w:rsidRDefault="002010BA">
                        <w:pPr>
                          <w:spacing w:after="160" w:line="259" w:lineRule="auto"/>
                          <w:ind w:left="0" w:firstLine="0"/>
                          <w:jc w:val="left"/>
                        </w:pPr>
                        <w:r>
                          <w:rPr>
                            <w:rFonts w:ascii="Calibri" w:eastAsia="Calibri" w:hAnsi="Calibri" w:cs="Calibri"/>
                            <w:color w:val="333333"/>
                            <w:sz w:val="16"/>
                          </w:rPr>
                          <w:t>0.00</w:t>
                        </w:r>
                      </w:p>
                    </w:txbxContent>
                  </v:textbox>
                </v:rect>
                <v:rect id="Rectangle 38476" o:spid="_x0000_s1076" style="position:absolute;left:1633;top:18016;width:547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HPuxwAAAN4AAAAPAAAAZHJzL2Rvd25yZXYueG1sRI9Ba8JA&#10;FITvQv/D8gredFMrGlNXEavo0aqg3h7Z1yQ0+zZkVxP99V2h0OMwM98w03lrSnGj2hWWFbz1IxDE&#10;qdUFZwqOh3UvBuE8ssbSMim4k4P57KUzxUTbhr/otveZCBB2CSrIva8SKV2ak0HXtxVx8L5tbdAH&#10;WWdS19gEuCnlIIpG0mDBYSHHipY5pT/7q1GwiavFeWsfTVauLpvT7jT5PEy8Ut3XdvEBwlPr/8N/&#10;7a1W8B4PxyN43glXQM5+AQAA//8DAFBLAQItABQABgAIAAAAIQDb4fbL7gAAAIUBAAATAAAAAAAA&#10;AAAAAAAAAAAAAABbQ29udGVudF9UeXBlc10ueG1sUEsBAi0AFAAGAAgAAAAhAFr0LFu/AAAAFQEA&#10;AAsAAAAAAAAAAAAAAAAAHwEAAF9yZWxzLy5yZWxzUEsBAi0AFAAGAAgAAAAhABPsc+7HAAAA3gAA&#10;AA8AAAAAAAAAAAAAAAAABwIAAGRycy9kb3ducmV2LnhtbFBLBQYAAAAAAwADALcAAAD7AgAAAAA=&#10;" filled="f" stroked="f">
                  <v:textbox inset="0,0,0,0">
                    <w:txbxContent>
                      <w:p w:rsidR="002010BA" w:rsidRDefault="002010BA">
                        <w:pPr>
                          <w:spacing w:after="160" w:line="259" w:lineRule="auto"/>
                          <w:ind w:left="0" w:firstLine="0"/>
                          <w:jc w:val="left"/>
                        </w:pPr>
                        <w:r>
                          <w:rPr>
                            <w:rFonts w:ascii="Calibri" w:eastAsia="Calibri" w:hAnsi="Calibri" w:cs="Calibri"/>
                            <w:color w:val="333333"/>
                            <w:sz w:val="16"/>
                          </w:rPr>
                          <w:t>12,500.00</w:t>
                        </w:r>
                      </w:p>
                    </w:txbxContent>
                  </v:textbox>
                </v:rect>
                <v:rect id="Rectangle 38477" o:spid="_x0000_s1077" style="position:absolute;left:1633;top:12849;width:547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NZ1yAAAAN4AAAAPAAAAZHJzL2Rvd25yZXYueG1sRI9Pa8JA&#10;FMTvhX6H5RW81U1VakyzEfEPerRasL09sq9JaPZtyK4m+um7QqHHYWZ+w6Tz3tTiQq2rLCt4GUYg&#10;iHOrKy4UfBw3zzEI55E11pZJwZUczLPHhxQTbTt+p8vBFyJA2CWooPS+SaR0eUkG3dA2xMH7tq1B&#10;H2RbSN1iF+CmlqMoepUGKw4LJTa0LCn/OZyNgm3cLD539tYV9fpre9qfZqvjzCs1eOoXbyA89f4/&#10;/NfeaQXjeDKdwv1OuAIy+wUAAP//AwBQSwECLQAUAAYACAAAACEA2+H2y+4AAACFAQAAEwAAAAAA&#10;AAAAAAAAAAAAAAAAW0NvbnRlbnRfVHlwZXNdLnhtbFBLAQItABQABgAIAAAAIQBa9CxbvwAAABUB&#10;AAALAAAAAAAAAAAAAAAAAB8BAABfcmVscy8ucmVsc1BLAQItABQABgAIAAAAIQB8oNZ1yAAAAN4A&#10;AAAPAAAAAAAAAAAAAAAAAAcCAABkcnMvZG93bnJldi54bWxQSwUGAAAAAAMAAwC3AAAA/AIAAAAA&#10;" filled="f" stroked="f">
                  <v:textbox inset="0,0,0,0">
                    <w:txbxContent>
                      <w:p w:rsidR="002010BA" w:rsidRDefault="002010BA">
                        <w:pPr>
                          <w:spacing w:after="160" w:line="259" w:lineRule="auto"/>
                          <w:ind w:left="0" w:firstLine="0"/>
                          <w:jc w:val="left"/>
                        </w:pPr>
                        <w:r>
                          <w:rPr>
                            <w:rFonts w:ascii="Calibri" w:eastAsia="Calibri" w:hAnsi="Calibri" w:cs="Calibri"/>
                            <w:color w:val="333333"/>
                            <w:sz w:val="16"/>
                          </w:rPr>
                          <w:t>25,000.00</w:t>
                        </w:r>
                      </w:p>
                    </w:txbxContent>
                  </v:textbox>
                </v:rect>
                <v:rect id="Rectangle 38478" o:spid="_x0000_s1078" style="position:absolute;left:1633;top:7686;width:547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0IHxAAAAN4AAAAPAAAAZHJzL2Rvd25yZXYueG1sRE/LasJA&#10;FN0X+g/DLbirk7aiMTqKtIoufYG6u2SuSWjmTsiMJvr1zkJweTjv8bQ1pbhS7QrLCr66EQji1OqC&#10;MwX73eIzBuE8ssbSMim4kYPp5P1tjIm2DW/ouvWZCCHsElSQe18lUro0J4OuayviwJ1tbdAHWGdS&#10;19iEcFPK7yjqS4MFh4YcK/rNKf3fXoyCZVzNjit7b7Jyfloe1ofh327olep8tLMRCE+tf4mf7pVW&#10;8BP3BmFvuBOugJw8AAAA//8DAFBLAQItABQABgAIAAAAIQDb4fbL7gAAAIUBAAATAAAAAAAAAAAA&#10;AAAAAAAAAABbQ29udGVudF9UeXBlc10ueG1sUEsBAi0AFAAGAAgAAAAhAFr0LFu/AAAAFQEAAAsA&#10;AAAAAAAAAAAAAAAAHwEAAF9yZWxzLy5yZWxzUEsBAi0AFAAGAAgAAAAhAA0/QgfEAAAA3gAAAA8A&#10;AAAAAAAAAAAAAAAABwIAAGRycy9kb3ducmV2LnhtbFBLBQYAAAAAAwADALcAAAD4AgAAAAA=&#10;" filled="f" stroked="f">
                  <v:textbox inset="0,0,0,0">
                    <w:txbxContent>
                      <w:p w:rsidR="002010BA" w:rsidRDefault="002010BA">
                        <w:pPr>
                          <w:spacing w:after="160" w:line="259" w:lineRule="auto"/>
                          <w:ind w:left="0" w:firstLine="0"/>
                          <w:jc w:val="left"/>
                        </w:pPr>
                        <w:r>
                          <w:rPr>
                            <w:rFonts w:ascii="Calibri" w:eastAsia="Calibri" w:hAnsi="Calibri" w:cs="Calibri"/>
                            <w:color w:val="333333"/>
                            <w:sz w:val="16"/>
                          </w:rPr>
                          <w:t>37,500.00</w:t>
                        </w:r>
                      </w:p>
                    </w:txbxContent>
                  </v:textbox>
                </v:rect>
                <v:rect id="Rectangle 38479" o:spid="_x0000_s1079" style="position:absolute;left:1633;top:2519;width:547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ecyAAAAN4AAAAPAAAAZHJzL2Rvd25yZXYueG1sRI9Pa8JA&#10;FMTvBb/D8oTe6kYrmkRXkbaix/oH1Nsj+0yC2bchuzVpP323IPQ4zMxvmPmyM5W4U+NKywqGgwgE&#10;cWZ1ybmC42H9EoNwHlljZZkUfJOD5aL3NMdU25Z3dN/7XAQIuxQVFN7XqZQuK8igG9iaOHhX2xj0&#10;QTa51A22AW4qOYqiiTRYclgosKa3grLb/sso2MT16ry1P21efVw2p89T8n5IvFLP/W41A+Gp8//h&#10;R3urFbzG42kCf3fCFZCLXwAAAP//AwBQSwECLQAUAAYACAAAACEA2+H2y+4AAACFAQAAEwAAAAAA&#10;AAAAAAAAAAAAAAAAW0NvbnRlbnRfVHlwZXNdLnhtbFBLAQItABQABgAIAAAAIQBa9CxbvwAAABUB&#10;AAALAAAAAAAAAAAAAAAAAB8BAABfcmVscy8ucmVsc1BLAQItABQABgAIAAAAIQBic+ecyAAAAN4A&#10;AAAPAAAAAAAAAAAAAAAAAAcCAABkcnMvZG93bnJldi54bWxQSwUGAAAAAAMAAwC3AAAA/AIAAAAA&#10;" filled="f" stroked="f">
                  <v:textbox inset="0,0,0,0">
                    <w:txbxContent>
                      <w:p w:rsidR="002010BA" w:rsidRDefault="002010BA">
                        <w:pPr>
                          <w:spacing w:after="160" w:line="259" w:lineRule="auto"/>
                          <w:ind w:left="0" w:firstLine="0"/>
                          <w:jc w:val="left"/>
                        </w:pPr>
                        <w:r>
                          <w:rPr>
                            <w:rFonts w:ascii="Calibri" w:eastAsia="Calibri" w:hAnsi="Calibri" w:cs="Calibri"/>
                            <w:color w:val="333333"/>
                            <w:sz w:val="16"/>
                          </w:rPr>
                          <w:t>50,000.00</w:t>
                        </w:r>
                      </w:p>
                    </w:txbxContent>
                  </v:textbox>
                </v:rect>
                <v:rect id="Rectangle 38480" o:spid="_x0000_s1080" style="position:absolute;left:10600;top:24502;width:273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4mxQAAAN4AAAAPAAAAZHJzL2Rvd25yZXYueG1sRI/LisIw&#10;FIb3A75DOIK7MfXCUDtGES/o0hvo7A7NmbZMc1KaaKtPbxYDLn/+G9903ppS3Kl2hWUFg34Egji1&#10;uuBMwfm0+YxBOI+ssbRMCh7kYD7rfEwx0bbhA92PPhNhhF2CCnLvq0RKl+Zk0PVtRRy8X1sb9EHW&#10;mdQ1NmHclHIYRV/SYMHhIceKljmlf8ebUbCNq8V1Z59NVq5/tpf9ZbI6TbxSvW67+AbhqfXv8H97&#10;pxWM4nEcAAJOQAE5ewEAAP//AwBQSwECLQAUAAYACAAAACEA2+H2y+4AAACFAQAAEwAAAAAAAAAA&#10;AAAAAAAAAAAAW0NvbnRlbnRfVHlwZXNdLnhtbFBLAQItABQABgAIAAAAIQBa9CxbvwAAABUBAAAL&#10;AAAAAAAAAAAAAAAAAB8BAABfcmVscy8ucmVsc1BLAQItABQABgAIAAAAIQDGnD4mxQAAAN4AAAAP&#10;AAAAAAAAAAAAAAAAAAcCAABkcnMvZG93bnJldi54bWxQSwUGAAAAAAMAAwC3AAAA+QIAAAAA&#10;" filled="f" stroked="f">
                  <v:textbox inset="0,0,0,0">
                    <w:txbxContent>
                      <w:p w:rsidR="002010BA" w:rsidRDefault="002010BA">
                        <w:pPr>
                          <w:spacing w:after="160" w:line="259" w:lineRule="auto"/>
                          <w:ind w:left="0" w:firstLine="0"/>
                          <w:jc w:val="left"/>
                        </w:pPr>
                        <w:r>
                          <w:rPr>
                            <w:rFonts w:ascii="Calibri" w:eastAsia="Calibri" w:hAnsi="Calibri" w:cs="Calibri"/>
                            <w:color w:val="333333"/>
                            <w:sz w:val="16"/>
                          </w:rPr>
                          <w:t>2015</w:t>
                        </w:r>
                      </w:p>
                    </w:txbxContent>
                  </v:textbox>
                </v:rect>
                <v:rect id="Rectangle 38481" o:spid="_x0000_s1081" style="position:absolute;left:20476;top:24502;width:273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Ju9xwAAAN4AAAAPAAAAZHJzL2Rvd25yZXYueG1sRI9Pa8JA&#10;FMTvQr/D8gredGMtEqOrSFX06J+C9fbIviah2bchu5rUT+8KgsdhZn7DTOetKcWValdYVjDoRyCI&#10;U6sLzhR8H9e9GITzyBpLy6TgnxzMZ2+dKSbaNryn68FnIkDYJagg975KpHRpTgZd31bEwfu1tUEf&#10;ZJ1JXWMT4KaUH1E0kgYLDgs5VvSVU/p3uBgFm7ha/GztrcnK1Xlz2p3Gy+PYK9V9bxcTEJ5a/wo/&#10;21utYBh/xgN43AlXQM7uAAAA//8DAFBLAQItABQABgAIAAAAIQDb4fbL7gAAAIUBAAATAAAAAAAA&#10;AAAAAAAAAAAAAABbQ29udGVudF9UeXBlc10ueG1sUEsBAi0AFAAGAAgAAAAhAFr0LFu/AAAAFQEA&#10;AAsAAAAAAAAAAAAAAAAAHwEAAF9yZWxzLy5yZWxzUEsBAi0AFAAGAAgAAAAhAKnQm73HAAAA3gAA&#10;AA8AAAAAAAAAAAAAAAAABwIAAGRycy9kb3ducmV2LnhtbFBLBQYAAAAAAwADALcAAAD7AgAAAAA=&#10;" filled="f" stroked="f">
                  <v:textbox inset="0,0,0,0">
                    <w:txbxContent>
                      <w:p w:rsidR="002010BA" w:rsidRDefault="002010BA">
                        <w:pPr>
                          <w:spacing w:after="160" w:line="259" w:lineRule="auto"/>
                          <w:ind w:left="0" w:firstLine="0"/>
                          <w:jc w:val="left"/>
                        </w:pPr>
                        <w:r>
                          <w:rPr>
                            <w:rFonts w:ascii="Calibri" w:eastAsia="Calibri" w:hAnsi="Calibri" w:cs="Calibri"/>
                            <w:color w:val="333333"/>
                            <w:sz w:val="16"/>
                          </w:rPr>
                          <w:t>2016</w:t>
                        </w:r>
                      </w:p>
                    </w:txbxContent>
                  </v:textbox>
                </v:rect>
                <v:rect id="Rectangle 38482" o:spid="_x0000_s1082" style="position:absolute;left:30351;top:24502;width:273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gXKxgAAAN4AAAAPAAAAZHJzL2Rvd25yZXYueG1sRI9Ba8JA&#10;FITvgv9heYI33ailxOgqohY9tiqot0f2mQSzb0N2a1J/vVso9DjMzDfMfNmaUjyodoVlBaNhBII4&#10;tbrgTMHp+DGIQTiPrLG0TAp+yMFy0e3MMdG24S96HHwmAoRdggpy76tESpfmZNANbUUcvJutDfog&#10;60zqGpsAN6UcR9G7NFhwWMixonVO6f3wbRTs4mp12dtnk5Xb6+78eZ5ujlOvVL/XrmYgPLX+P/zX&#10;3msFk/gtHsPvnXAF5OIFAAD//wMAUEsBAi0AFAAGAAgAAAAhANvh9svuAAAAhQEAABMAAAAAAAAA&#10;AAAAAAAAAAAAAFtDb250ZW50X1R5cGVzXS54bWxQSwECLQAUAAYACAAAACEAWvQsW78AAAAVAQAA&#10;CwAAAAAAAAAAAAAAAAAfAQAAX3JlbHMvLnJlbHNQSwECLQAUAAYACAAAACEAWQIFysYAAADeAAAA&#10;DwAAAAAAAAAAAAAAAAAHAgAAZHJzL2Rvd25yZXYueG1sUEsFBgAAAAADAAMAtwAAAPoCAAAAAA==&#10;" filled="f" stroked="f">
                  <v:textbox inset="0,0,0,0">
                    <w:txbxContent>
                      <w:p w:rsidR="002010BA" w:rsidRDefault="002010BA">
                        <w:pPr>
                          <w:spacing w:after="160" w:line="259" w:lineRule="auto"/>
                          <w:ind w:left="0" w:firstLine="0"/>
                          <w:jc w:val="left"/>
                        </w:pPr>
                        <w:r>
                          <w:rPr>
                            <w:rFonts w:ascii="Calibri" w:eastAsia="Calibri" w:hAnsi="Calibri" w:cs="Calibri"/>
                            <w:color w:val="333333"/>
                            <w:sz w:val="16"/>
                          </w:rPr>
                          <w:t>2017</w:t>
                        </w:r>
                      </w:p>
                    </w:txbxContent>
                  </v:textbox>
                </v:rect>
                <v:rect id="Rectangle 38483" o:spid="_x0000_s1083" style="position:absolute;left:40227;top:24502;width:273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qBRyAAAAN4AAAAPAAAAZHJzL2Rvd25yZXYueG1sRI9Pa8JA&#10;FMTvQr/D8gq9mU2rSIyuIv2DHjUWUm+P7GsSmn0bslsT++m7guBxmJnfMMv1YBpxps7VlhU8RzEI&#10;4sLqmksFn8ePcQLCeWSNjWVScCEH69XDaImptj0f6Jz5UgQIuxQVVN63qZSuqMigi2xLHLxv2xn0&#10;QXal1B32AW4a+RLHM2mw5rBQYUuvFRU/2a9RsE3azdfO/vVl837a5vt8/nace6WeHofNAoSnwd/D&#10;t/ZOK5gk02QC1zvhCsjVPwAAAP//AwBQSwECLQAUAAYACAAAACEA2+H2y+4AAACFAQAAEwAAAAAA&#10;AAAAAAAAAAAAAAAAW0NvbnRlbnRfVHlwZXNdLnhtbFBLAQItABQABgAIAAAAIQBa9CxbvwAAABUB&#10;AAALAAAAAAAAAAAAAAAAAB8BAABfcmVscy8ucmVsc1BLAQItABQABgAIAAAAIQA2TqBRyAAAAN4A&#10;AAAPAAAAAAAAAAAAAAAAAAcCAABkcnMvZG93bnJldi54bWxQSwUGAAAAAAMAAwC3AAAA/AIAAAAA&#10;" filled="f" stroked="f">
                  <v:textbox inset="0,0,0,0">
                    <w:txbxContent>
                      <w:p w:rsidR="002010BA" w:rsidRDefault="002010BA">
                        <w:pPr>
                          <w:spacing w:after="160" w:line="259" w:lineRule="auto"/>
                          <w:ind w:left="0" w:firstLine="0"/>
                          <w:jc w:val="left"/>
                        </w:pPr>
                        <w:r>
                          <w:rPr>
                            <w:rFonts w:ascii="Calibri" w:eastAsia="Calibri" w:hAnsi="Calibri" w:cs="Calibri"/>
                            <w:color w:val="333333"/>
                            <w:sz w:val="16"/>
                          </w:rPr>
                          <w:t>2018</w:t>
                        </w:r>
                      </w:p>
                    </w:txbxContent>
                  </v:textbox>
                </v:rect>
                <v:rect id="Rectangle 38484" o:spid="_x0000_s1084" style="position:absolute;left:50106;top:24502;width:273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zglxwAAAN4AAAAPAAAAZHJzL2Rvd25yZXYueG1sRI9ba8JA&#10;FITfC/6H5Qi+1Y0XSoyuImrRx3oB9e2QPSbB7NmQXU3aX98tFHwcZuYbZrZoTSmeVLvCsoJBPwJB&#10;nFpdcKbgdPx8j0E4j6yxtEwKvsnBYt55m2GibcN7eh58JgKEXYIKcu+rREqX5mTQ9W1FHLybrQ36&#10;IOtM6hqbADelHEbRhzRYcFjIsaJVTun98DAKtnG1vOzsT5OVm+v2/HWerI8Tr1Sv2y6nIDy1/hX+&#10;b++0glE8jsfwdydcATn/BQAA//8DAFBLAQItABQABgAIAAAAIQDb4fbL7gAAAIUBAAATAAAAAAAA&#10;AAAAAAAAAAAAAABbQ29udGVudF9UeXBlc10ueG1sUEsBAi0AFAAGAAgAAAAhAFr0LFu/AAAAFQEA&#10;AAsAAAAAAAAAAAAAAAAAHwEAAF9yZWxzLy5yZWxzUEsBAi0AFAAGAAgAAAAhALmnOCXHAAAA3gAA&#10;AA8AAAAAAAAAAAAAAAAABwIAAGRycy9kb3ducmV2LnhtbFBLBQYAAAAAAwADALcAAAD7AgAAAAA=&#10;" filled="f" stroked="f">
                  <v:textbox inset="0,0,0,0">
                    <w:txbxContent>
                      <w:p w:rsidR="002010BA" w:rsidRDefault="002010BA">
                        <w:pPr>
                          <w:spacing w:after="160" w:line="259" w:lineRule="auto"/>
                          <w:ind w:left="0" w:firstLine="0"/>
                          <w:jc w:val="left"/>
                        </w:pPr>
                        <w:r>
                          <w:rPr>
                            <w:rFonts w:ascii="Calibri" w:eastAsia="Calibri" w:hAnsi="Calibri" w:cs="Calibri"/>
                            <w:color w:val="333333"/>
                            <w:sz w:val="16"/>
                          </w:rPr>
                          <w:t>2019</w:t>
                        </w:r>
                      </w:p>
                    </w:txbxContent>
                  </v:textbox>
                </v:rect>
                <v:rect id="Rectangle 38485" o:spid="_x0000_s1085" style="position:absolute;left:-2471;top:11769;width:7098;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9/xwAAAN4AAAAPAAAAZHJzL2Rvd25yZXYueG1sRI9ba8JA&#10;FITfC/0PyxH6VjdaW0N0FSmU9EXBKz4esycXmj2bZleN/94VCn0cZuYbZjrvTC0u1LrKsoJBPwJB&#10;nFldcaFgt/16jUE4j6yxtkwKbuRgPnt+mmKi7ZXXdNn4QgQIuwQVlN43iZQuK8mg69uGOHi5bQ36&#10;INtC6havAW5qOYyiD2mw4rBQYkOfJWU/m7NRsB9sz4fUrU58zH/Ho6VPV3mRKvXS6xYTEJ46/x/+&#10;a39rBW/xKH6Hx51wBeTsDgAA//8DAFBLAQItABQABgAIAAAAIQDb4fbL7gAAAIUBAAATAAAAAAAA&#10;AAAAAAAAAAAAAABbQ29udGVudF9UeXBlc10ueG1sUEsBAi0AFAAGAAgAAAAhAFr0LFu/AAAAFQEA&#10;AAsAAAAAAAAAAAAAAAAAHwEAAF9yZWxzLy5yZWxzUEsBAi0AFAAGAAgAAAAhAFOz33/HAAAA3gAA&#10;AA8AAAAAAAAAAAAAAAAABwIAAGRycy9kb3ducmV2LnhtbFBLBQYAAAAAAwADALcAAAD7AgAAAAA=&#10;" filled="f" stroked="f">
                  <v:textbox inset="0,0,0,0">
                    <w:txbxContent>
                      <w:p w:rsidR="002010BA" w:rsidRDefault="002010BA">
                        <w:pPr>
                          <w:spacing w:after="160" w:line="259" w:lineRule="auto"/>
                          <w:ind w:left="0" w:firstLine="0"/>
                          <w:jc w:val="left"/>
                        </w:pPr>
                        <w:r>
                          <w:rPr>
                            <w:rFonts w:ascii="Calibri" w:eastAsia="Calibri" w:hAnsi="Calibri" w:cs="Calibri"/>
                            <w:color w:val="333333"/>
                            <w:sz w:val="16"/>
                          </w:rPr>
                          <w:t>US$' Millions</w:t>
                        </w:r>
                      </w:p>
                    </w:txbxContent>
                  </v:textbox>
                </v:rect>
                <v:shape id="Shape 395795" o:spid="_x0000_s1086" style="position:absolute;left:20478;top:309;width:2439;height:558;visibility:visible;mso-wrap-style:square;v-text-anchor:top" coordsize="243840,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jTwyQAAAN8AAAAPAAAAZHJzL2Rvd25yZXYueG1sRI9ba8JA&#10;FITfC/0Pyyn4ppsqqSZ1FWktLYgPXkAfD9nTXJo9G7JrjP++WxD6OMzMN8x82ZtadNS60rKC51EE&#10;gjizuuRcwfHwMZyBcB5ZY22ZFNzIwXLx+DDHVNsr76jb+1wECLsUFRTeN6mULivIoBvZhjh437Y1&#10;6INsc6lbvAa4qeU4il6kwZLDQoENvRWU/ewvRsHmHW+fXanjeH3eVRidKr1NKqUGT/3qFYSn3v+H&#10;7+0vrWCSxNMkhr8/4QvIxS8AAAD//wMAUEsBAi0AFAAGAAgAAAAhANvh9svuAAAAhQEAABMAAAAA&#10;AAAAAAAAAAAAAAAAAFtDb250ZW50X1R5cGVzXS54bWxQSwECLQAUAAYACAAAACEAWvQsW78AAAAV&#10;AQAACwAAAAAAAAAAAAAAAAAfAQAAX3JlbHMvLnJlbHNQSwECLQAUAAYACAAAACEANr408MkAAADf&#10;AAAADwAAAAAAAAAAAAAAAAAHAgAAZHJzL2Rvd25yZXYueG1sUEsFBgAAAAADAAMAtwAAAP0CAAAA&#10;AA==&#10;" path="m,l243840,r,55807l,55807,,e" fillcolor="#4472c4" stroked="f" strokeweight="0">
                  <v:path arrowok="t" textboxrect="0,0,243840,55807"/>
                </v:shape>
                <v:rect id="Rectangle 38487" o:spid="_x0000_s1087" style="position:absolute;left:23180;top:109;width:1340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aZSxwAAAN4AAAAPAAAAZHJzL2Rvd25yZXYueG1sRI9Pa8JA&#10;FMTvBb/D8gRvdaOWGqOriLbosf4B9fbIPpNg9m3Ibk3aT+8KhR6HmfkNM1u0phR3ql1hWcGgH4Eg&#10;Tq0uOFNwPHy+xiCcR9ZYWiYFP+RgMe+8zDDRtuEd3fc+EwHCLkEFufdVIqVLczLo+rYiDt7V1gZ9&#10;kHUmdY1NgJtSDqPoXRosOCzkWNEqp/S2/zYKNnG1PG/tb5OVH5fN6es0WR8mXqlet11OQXhq/X/4&#10;r73VCkbxWzyG551wBeT8AQAA//8DAFBLAQItABQABgAIAAAAIQDb4fbL7gAAAIUBAAATAAAAAAAA&#10;AAAAAAAAAAAAAABbQ29udGVudF9UeXBlc10ueG1sUEsBAi0AFAAGAAgAAAAhAFr0LFu/AAAAFQEA&#10;AAsAAAAAAAAAAAAAAAAAHwEAAF9yZWxzLy5yZWxzUEsBAi0AFAAGAAgAAAAhAEl1plLHAAAA3gAA&#10;AA8AAAAAAAAAAAAAAAAABwIAAGRycy9kb3ducmV2LnhtbFBLBQYAAAAAAwADALcAAAD7AgAAAAA=&#10;" filled="f" stroked="f">
                  <v:textbox inset="0,0,0,0">
                    <w:txbxContent>
                      <w:p w:rsidR="002010BA" w:rsidRDefault="002010BA">
                        <w:pPr>
                          <w:spacing w:after="160" w:line="259" w:lineRule="auto"/>
                          <w:ind w:left="0" w:firstLine="0"/>
                          <w:jc w:val="left"/>
                        </w:pPr>
                        <w:r>
                          <w:rPr>
                            <w:rFonts w:ascii="Calibri" w:eastAsia="Calibri" w:hAnsi="Calibri" w:cs="Calibri"/>
                            <w:color w:val="333333"/>
                            <w:sz w:val="16"/>
                          </w:rPr>
                          <w:t>FGN External Debt Stock</w:t>
                        </w:r>
                      </w:p>
                    </w:txbxContent>
                  </v:textbox>
                </v:rect>
                <v:shape id="Shape 395796" o:spid="_x0000_s1088" style="position:absolute;left:20478;top:1485;width:2439;height:558;visibility:visible;mso-wrap-style:square;v-text-anchor:top" coordsize="243840,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yXyAAAAN8AAAAPAAAAZHJzL2Rvd25yZXYueG1sRI9Pa8JA&#10;FMTvhX6H5RW81U2VphpdpSiF3vxTQbw9ss9s2uzbkN1o6qd3BcHjMDO/YabzzlbiRI0vHSt46ycg&#10;iHOnSy4U7H6+XkcgfEDWWDkmBf/kYT57fppipt2ZN3TahkJECPsMFZgQ6kxKnxuy6PuuJo7e0TUW&#10;Q5RNIXWD5wi3lRwkSSotlhwXDNa0MJT/bVuroO3a9Yp26eG3ONpF0qa8vJi9Ur2X7nMCIlAXHuF7&#10;+1srGI7fP8Yp3P7ELyBnVwAAAP//AwBQSwECLQAUAAYACAAAACEA2+H2y+4AAACFAQAAEwAAAAAA&#10;AAAAAAAAAAAAAAAAW0NvbnRlbnRfVHlwZXNdLnhtbFBLAQItABQABgAIAAAAIQBa9CxbvwAAABUB&#10;AAALAAAAAAAAAAAAAAAAAB8BAABfcmVscy8ucmVsc1BLAQItABQABgAIAAAAIQCTlXyXyAAAAN8A&#10;AAAPAAAAAAAAAAAAAAAAAAcCAABkcnMvZG93bnJldi54bWxQSwUGAAAAAAMAAwC3AAAA/AIAAAAA&#10;" path="m,l243840,r,55807l,55807,,e" fillcolor="#ed7d31" stroked="f" strokeweight="0">
                  <v:path arrowok="t" textboxrect="0,0,243840,55807"/>
                </v:shape>
                <v:rect id="Rectangle 38489" o:spid="_x0000_s1089" style="position:absolute;left:23180;top:1285;width:187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e7yAAAAN4AAAAPAAAAZHJzL2Rvd25yZXYueG1sRI9Pa8JA&#10;FMTvBb/D8oTe6kZbShKzEbEteqx/QL09ss8kmH0bsluT9tN3CwWPw8z8hskWg2nEjTpXW1YwnUQg&#10;iAuray4VHPYfTzEI55E1NpZJwTc5WOSjhwxTbXve0m3nSxEg7FJUUHnfplK6oiKDbmJb4uBdbGfQ&#10;B9mVUnfYB7hp5CyKXqXBmsNChS2tKiquuy+jYB23y9PG/vRl835eHz+Pyds+8Uo9joflHISnwd/D&#10;/+2NVvAcv8QJ/N0JV0DmvwAAAP//AwBQSwECLQAUAAYACAAAACEA2+H2y+4AAACFAQAAEwAAAAAA&#10;AAAAAAAAAAAAAAAAW0NvbnRlbnRfVHlwZXNdLnhtbFBLAQItABQABgAIAAAAIQBa9CxbvwAAABUB&#10;AAALAAAAAAAAAAAAAAAAAB8BAABfcmVscy8ucmVsc1BLAQItABQABgAIAAAAIQBXppe7yAAAAN4A&#10;AAAPAAAAAAAAAAAAAAAAAAcCAABkcnMvZG93bnJldi54bWxQSwUGAAAAAAMAAwC3AAAA/AIAAAAA&#10;" filled="f" stroked="f">
                  <v:textbox inset="0,0,0,0">
                    <w:txbxContent>
                      <w:p w:rsidR="002010BA" w:rsidRDefault="002010BA">
                        <w:pPr>
                          <w:spacing w:after="160" w:line="259" w:lineRule="auto"/>
                          <w:ind w:left="0" w:firstLine="0"/>
                          <w:jc w:val="left"/>
                        </w:pPr>
                        <w:r>
                          <w:rPr>
                            <w:rFonts w:ascii="Calibri" w:eastAsia="Calibri" w:hAnsi="Calibri" w:cs="Calibri"/>
                            <w:color w:val="333333"/>
                            <w:sz w:val="16"/>
                          </w:rPr>
                          <w:t>States &amp; FCT's External Debt Stock</w:t>
                        </w:r>
                      </w:p>
                    </w:txbxContent>
                  </v:textbox>
                </v:rect>
                <v:shape id="Shape 395797" o:spid="_x0000_s1090" style="position:absolute;left:20478;top:2661;width:2439;height:558;visibility:visible;mso-wrap-style:square;v-text-anchor:top" coordsize="243840,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beyAAAAN8AAAAPAAAAZHJzL2Rvd25yZXYueG1sRI9Ba8JA&#10;FITvhf6H5RV6qxsjGpO6Sita9NBDU+n5kX1mQ7NvQ3Yb4793C4Ueh5n5hlltRtuKgXrfOFYwnSQg&#10;iCunG64VnD73T0sQPiBrbB2Tgit52Kzv71ZYaHfhDxrKUIsIYV+gAhNCV0jpK0MW/cR1xNE7u95i&#10;iLKvpe7xEuG2lWmSLKTFhuOCwY62hqrv8scq8LvhzU/T92Se4/m4fM3S0py+lHp8GF+eQQQaw3/4&#10;r33QCmb5PMsz+P0Tv4Bc3wAAAP//AwBQSwECLQAUAAYACAAAACEA2+H2y+4AAACFAQAAEwAAAAAA&#10;AAAAAAAAAAAAAAAAW0NvbnRlbnRfVHlwZXNdLnhtbFBLAQItABQABgAIAAAAIQBa9CxbvwAAABUB&#10;AAALAAAAAAAAAAAAAAAAAB8BAABfcmVscy8ucmVsc1BLAQItABQABgAIAAAAIQDiLSbeyAAAAN8A&#10;AAAPAAAAAAAAAAAAAAAAAAcCAABkcnMvZG93bnJldi54bWxQSwUGAAAAAAMAAwC3AAAA/AIAAAAA&#10;" path="m,l243840,r,55807l,55807,,e" fillcolor="#a5a5a5" stroked="f" strokeweight="0">
                  <v:path arrowok="t" textboxrect="0,0,243840,55807"/>
                </v:shape>
                <v:rect id="Rectangle 38491" o:spid="_x0000_s1091" style="position:absolute;left:23180;top:2461;width:1405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1gxwAAAN4AAAAPAAAAZHJzL2Rvd25yZXYueG1sRI9Ba8JA&#10;FITvBf/D8gRvdaOWksRsRGyLHlsV1Nsj+0yC2bchuzVpf323UOhxmJlvmGw1mEbcqXO1ZQWzaQSC&#10;uLC65lLB8fD2GINwHlljY5kUfJGDVT56yDDVtucPuu99KQKEXYoKKu/bVEpXVGTQTW1LHLyr7Qz6&#10;ILtS6g77ADeNnEfRszRYc1iosKVNRcVt/2kUbON2fd7Z775sXi/b0/speTkkXqnJeFgvQXga/H/4&#10;r73TChbxUzKD3zvhCsj8BwAA//8DAFBLAQItABQABgAIAAAAIQDb4fbL7gAAAIUBAAATAAAAAAAA&#10;AAAAAAAAAAAAAABbQ29udGVudF9UeXBlc10ueG1sUEsBAi0AFAAGAAgAAAAhAFr0LFu/AAAAFQEA&#10;AAsAAAAAAAAAAAAAAAAAHwEAAF9yZWxzLy5yZWxzUEsBAi0AFAAGAAgAAAAhACwJDWDHAAAA3gAA&#10;AA8AAAAAAAAAAAAAAAAABwIAAGRycy9kb3ducmV2LnhtbFBLBQYAAAAAAwADALcAAAD7AgAAAAA=&#10;" filled="f" stroked="f">
                  <v:textbox inset="0,0,0,0">
                    <w:txbxContent>
                      <w:p w:rsidR="002010BA" w:rsidRDefault="002010BA">
                        <w:pPr>
                          <w:spacing w:after="160" w:line="259" w:lineRule="auto"/>
                          <w:ind w:left="0" w:firstLine="0"/>
                          <w:jc w:val="left"/>
                        </w:pPr>
                        <w:r>
                          <w:rPr>
                            <w:rFonts w:ascii="Calibri" w:eastAsia="Calibri" w:hAnsi="Calibri" w:cs="Calibri"/>
                            <w:color w:val="333333"/>
                            <w:sz w:val="16"/>
                          </w:rPr>
                          <w:t>FGN Domestic Debt Stock</w:t>
                        </w:r>
                      </w:p>
                    </w:txbxContent>
                  </v:textbox>
                </v:rect>
                <v:shape id="Shape 395798" o:spid="_x0000_s1092" style="position:absolute;left:20478;top:3838;width:2439;height:558;visibility:visible;mso-wrap-style:square;v-text-anchor:top" coordsize="243840,5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h5sxAAAAN8AAAAPAAAAZHJzL2Rvd25yZXYueG1sRE/LisIw&#10;FN0P+A/hCu7GVMVXNUoZEFwIjo+Nu0tzbarNTWkytv79ZDEwy8N5r7edrcSLGl86VjAaJiCIc6dL&#10;LhRcL7vPBQgfkDVWjknBmzxsN72PNabatXyi1zkUIoawT1GBCaFOpfS5IYt+6GriyN1dYzFE2BRS&#10;N9jGcFvJcZLMpMWSY4PBmr4M5c/zj1VwfPNxVN7a2be5HeaPfZVNWp8pNeh32QpEoC78i//ce61g&#10;spzOl3Fw/BO/gNz8AgAA//8DAFBLAQItABQABgAIAAAAIQDb4fbL7gAAAIUBAAATAAAAAAAAAAAA&#10;AAAAAAAAAABbQ29udGVudF9UeXBlc10ueG1sUEsBAi0AFAAGAAgAAAAhAFr0LFu/AAAAFQEAAAsA&#10;AAAAAAAAAAAAAAAAHwEAAF9yZWxzLy5yZWxzUEsBAi0AFAAGAAgAAAAhAGzWHmzEAAAA3wAAAA8A&#10;AAAAAAAAAAAAAAAABwIAAGRycy9kb3ducmV2LnhtbFBLBQYAAAAAAwADALcAAAD4AgAAAAA=&#10;" path="m,l243840,r,55807l,55807,,e" fillcolor="#ffc000" stroked="f" strokeweight="0">
                  <v:path arrowok="t" textboxrect="0,0,243840,55807"/>
                </v:shape>
                <v:rect id="Rectangle 38493" o:spid="_x0000_s1093" style="position:absolute;left:23180;top:3638;width:1944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aMxwAAAN4AAAAPAAAAZHJzL2Rvd25yZXYueG1sRI9Ba8JA&#10;FITvQv/D8gredFMtJYnZiFSLHqsWrLdH9pkEs29DdmvS/vpuoeBxmJlvmGw5mEbcqHO1ZQVP0wgE&#10;cWF1zaWCj+PbJAbhPLLGxjIp+CYHy/xhlGGqbc97uh18KQKEXYoKKu/bVEpXVGTQTW1LHLyL7Qz6&#10;ILtS6g77ADeNnEXRizRYc1iosKXXiorr4cso2Mbt6nNnf/qy2Zy3p/dTsj4mXqnx47BagPA0+Hv4&#10;v73TCubxczKHvzvhCsj8FwAA//8DAFBLAQItABQABgAIAAAAIQDb4fbL7gAAAIUBAAATAAAAAAAA&#10;AAAAAAAAAAAAAABbQ29udGVudF9UeXBlc10ueG1sUEsBAi0AFAAGAAgAAAAhAFr0LFu/AAAAFQEA&#10;AAsAAAAAAAAAAAAAAAAAHwEAAF9yZWxzLy5yZWxzUEsBAi0AFAAGAAgAAAAhALOXNozHAAAA3gAA&#10;AA8AAAAAAAAAAAAAAAAABwIAAGRycy9kb3ducmV2LnhtbFBLBQYAAAAAAwADALcAAAD7AgAAAAA=&#10;" filled="f" stroked="f">
                  <v:textbox inset="0,0,0,0">
                    <w:txbxContent>
                      <w:p w:rsidR="002010BA" w:rsidRDefault="002010BA">
                        <w:pPr>
                          <w:spacing w:after="160" w:line="259" w:lineRule="auto"/>
                          <w:ind w:left="0" w:firstLine="0"/>
                          <w:jc w:val="left"/>
                        </w:pPr>
                        <w:r>
                          <w:rPr>
                            <w:rFonts w:ascii="Calibri" w:eastAsia="Calibri" w:hAnsi="Calibri" w:cs="Calibri"/>
                            <w:color w:val="333333"/>
                            <w:sz w:val="16"/>
                          </w:rPr>
                          <w:t>States &amp; FCT's Domestic Debt Stock</w:t>
                        </w:r>
                      </w:p>
                    </w:txbxContent>
                  </v:textbox>
                </v:rect>
                <v:shape id="Shape 38494" o:spid="_x0000_s1094" style="position:absolute;left:20478;top:5293;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ItIyAAAAN4AAAAPAAAAZHJzL2Rvd25yZXYueG1sRI9BSwMx&#10;FITvQv9DeEJvNut2kbo2LUWorfRkXQVvj81zN3bzsiRpu/33piB4HGbmG2a+HGwnTuSDcazgfpKB&#10;IK6dNtwoqN7XdzMQISJr7ByTggsFWC5GN3MstTvzG532sREJwqFEBW2MfSllqFuyGCauJ07et/MW&#10;Y5K+kdrjOcFtJ/Mse5AWDaeFFnt6bqk+7I9Wgd/l1ec0X/kq/JjN+qX4Mh+XV6XGt8PqCUSkIf6H&#10;/9pbrWA6Kx4LuN5JV0AufgEAAP//AwBQSwECLQAUAAYACAAAACEA2+H2y+4AAACFAQAAEwAAAAAA&#10;AAAAAAAAAAAAAAAAW0NvbnRlbnRfVHlwZXNdLnhtbFBLAQItABQABgAIAAAAIQBa9CxbvwAAABUB&#10;AAALAAAAAAAAAAAAAAAAAB8BAABfcmVscy8ucmVsc1BLAQItABQABgAIAAAAIQDe7ItIyAAAAN4A&#10;AAAPAAAAAAAAAAAAAAAAAAcCAABkcnMvZG93bnJldi54bWxQSwUGAAAAAAMAAwC3AAAA/AIAAAAA&#10;" path="m,l243840,e" filled="f" strokecolor="#3cc" strokeweight="2pt">
                  <v:path arrowok="t" textboxrect="0,0,243840,0"/>
                </v:shape>
                <v:shape id="Shape 38495" o:spid="_x0000_s1095" style="position:absolute;left:21496;top:5091;width:365;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4r2yQAAAN4AAAAPAAAAZHJzL2Rvd25yZXYueG1sRI9PTwIx&#10;FMTvJn6H5pFwky6iAiuFGMSgcuFfYry9tM/djdvXta2w+umpiQnHycz8JjOZtbYWB/Khcqyg38tA&#10;EGtnKi4U7HdPVyMQISIbrB2Tgh8KMJteXkwwN+7IGzpsYyEShEOOCsoYm1zKoEuyGHquIU7eh/MW&#10;Y5K+kMbjMcFtLa+z7E5arDgtlNjQvCT9uf22Cn5Jvy4Hb3a9aJbt1/BRv/hVfFeq22kf7kFEauM5&#10;/N9+NgoGo5vxLfzdSVdATk8AAAD//wMAUEsBAi0AFAAGAAgAAAAhANvh9svuAAAAhQEAABMAAAAA&#10;AAAAAAAAAAAAAAAAAFtDb250ZW50X1R5cGVzXS54bWxQSwECLQAUAAYACAAAACEAWvQsW78AAAAV&#10;AQAACwAAAAAAAAAAAAAAAAAfAQAAX3JlbHMvLnJlbHNQSwECLQAUAAYACAAAACEA8leK9skAAADe&#10;AAAADwAAAAAAAAAAAAAAAAAHAgAAZHJzL2Rvd25yZXYueG1sUEsFBgAAAAADAAMAtwAAAP0CAAAA&#10;AA==&#10;" path="m18288,c28448,,36576,8128,36576,18288v,10160,-8128,18288,-18288,18288c8128,36576,,28448,,18288,,8128,8128,,18288,xe" fillcolor="#3cc" stroked="f" strokeweight="0">
                  <v:path arrowok="t" textboxrect="0,0,36576,36576"/>
                </v:shape>
                <v:shape id="Shape 38496" o:spid="_x0000_s1096" style="position:absolute;left:21496;top:5091;width:365;height:366;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W6vyAAAAN4AAAAPAAAAZHJzL2Rvd25yZXYueG1sRI9PawIx&#10;FMTvBb9DeIVeimZbrehqlFJaLe1JXfD62LzuHzcvS5Lq6qc3QqHHYWZ+w8yXnWnEkZyvLCt4GiQg&#10;iHOrKy4UZLuP/gSED8gaG8uk4Ewelove3RxTbU+8oeM2FCJC2KeooAyhTaX0eUkG/cC2xNH7sc5g&#10;iNIVUjs8Rbhp5HOSjKXBiuNCiS29lZQftr9Gweqc5Rf79VL7x9pl9fto779xrdTDffc6AxGoC//h&#10;v/anVjCcjKZjuN2JV0AurgAAAP//AwBQSwECLQAUAAYACAAAACEA2+H2y+4AAACFAQAAEwAAAAAA&#10;AAAAAAAAAAAAAAAAW0NvbnRlbnRfVHlwZXNdLnhtbFBLAQItABQABgAIAAAAIQBa9CxbvwAAABUB&#10;AAALAAAAAAAAAAAAAAAAAB8BAABfcmVscy8ucmVsc1BLAQItABQABgAIAAAAIQCydW6vyAAAAN4A&#10;AAAPAAAAAAAAAAAAAAAAAAcCAABkcnMvZG93bnJldi54bWxQSwUGAAAAAAMAAwC3AAAA/AIAAAAA&#10;" path="m36576,18288v,10160,-8128,18288,-18288,18288c8128,36576,,28448,,18288,,8128,8128,,18288,,28448,,36576,8128,36576,18288xe" filled="f" strokecolor="#3cc" strokeweight="2pt">
                  <v:path arrowok="t" textboxrect="0,0,36576,36576"/>
                </v:shape>
                <v:rect id="Rectangle 38497" o:spid="_x0000_s1097" style="position:absolute;left:23180;top:4814;width:953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CPyAAAAN4AAAAPAAAAZHJzL2Rvd25yZXYueG1sRI9Pa8JA&#10;FMTvBb/D8oTe6kYrmkRXkbaix/oH1Nsj+0yC2bchuzVpP323IPQ4zMxvmPmyM5W4U+NKywqGgwgE&#10;cWZ1ybmC42H9EoNwHlljZZkUfJOD5aL3NMdU25Z3dN/7XAQIuxQVFN7XqZQuK8igG9iaOHhX2xj0&#10;QTa51A22AW4qOYqiiTRYclgosKa3grLb/sso2MT16ry1P21efVw2p89T8n5IvFLP/W41A+Gp8//h&#10;R3urFbzG42QKf3fCFZCLXwAAAP//AwBQSwECLQAUAAYACAAAACEA2+H2y+4AAACFAQAAEwAAAAAA&#10;AAAAAAAAAAAAAAAAW0NvbnRlbnRfVHlwZXNdLnhtbFBLAQItABQABgAIAAAAIQBa9CxbvwAAABUB&#10;AAALAAAAAAAAAAAAAAAAAB8BAABfcmVscy8ucmVsc1BLAQItABQABgAIAAAAIQDMrDCPyAAAAN4A&#10;AAAPAAAAAAAAAAAAAAAAAAcCAABkcnMvZG93bnJldi54bWxQSwUGAAAAAAMAAwC3AAAA/AIAAAAA&#10;" filled="f" stroked="f">
                  <v:textbox inset="0,0,0,0">
                    <w:txbxContent>
                      <w:p w:rsidR="002010BA" w:rsidRDefault="002010BA">
                        <w:pPr>
                          <w:spacing w:after="160" w:line="259" w:lineRule="auto"/>
                          <w:ind w:left="0" w:firstLine="0"/>
                          <w:jc w:val="left"/>
                        </w:pPr>
                        <w:r>
                          <w:rPr>
                            <w:rFonts w:ascii="Calibri" w:eastAsia="Calibri" w:hAnsi="Calibri" w:cs="Calibri"/>
                            <w:color w:val="333333"/>
                            <w:sz w:val="16"/>
                          </w:rPr>
                          <w:t>Debt as % of GDP</w:t>
                        </w:r>
                      </w:p>
                    </w:txbxContent>
                  </v:textbox>
                </v:rect>
                <v:shape id="Shape 38498" o:spid="_x0000_s1098" style="position:absolute;width:59969;height:26123;visibility:visible;mso-wrap-style:square;v-text-anchor:top" coordsize="5996940,261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bKwwAAAN4AAAAPAAAAZHJzL2Rvd25yZXYueG1sRE/Pa8Iw&#10;FL4P/B/CE7yMmWo3cZ1RRNjwtqn1/mjemmLzUppY439vDoMdP77fq020rRio941jBbNpBoK4crrh&#10;WkF5+nxZgvABWWPrmBTcycNmPXpaYaHdjQ80HEMtUgj7AhWYELpCSl8ZsuinriNO3K/rLYYE+1rq&#10;Hm8p3LZynmULabHh1GCwo52h6nK8WgXncxlDu33O8++vu/15G2J5iEapyThuP0AEiuFf/OfeawX5&#10;8vU97U130hWQ6wcAAAD//wMAUEsBAi0AFAAGAAgAAAAhANvh9svuAAAAhQEAABMAAAAAAAAAAAAA&#10;AAAAAAAAAFtDb250ZW50X1R5cGVzXS54bWxQSwECLQAUAAYACAAAACEAWvQsW78AAAAVAQAACwAA&#10;AAAAAAAAAAAAAAAfAQAAX3JlbHMvLnJlbHNQSwECLQAUAAYACAAAACEAIzSGysMAAADeAAAADwAA&#10;AAAAAAAAAAAAAAAHAgAAZHJzL2Rvd25yZXYueG1sUEsFBgAAAAADAAMAtwAAAPcCAAAAAA==&#10;" path="m,2612390r5996940,l5996940,,,,,2612390xe" filled="f" strokecolor="#d9d9d9" strokeweight="1pt">
                  <v:path arrowok="t" textboxrect="0,0,5996940,2612390"/>
                </v:shape>
                <w10:anchorlock/>
              </v:group>
            </w:pict>
          </mc:Fallback>
        </mc:AlternateContent>
      </w:r>
    </w:p>
    <w:p w:rsidR="001C682A" w:rsidRDefault="00B03C38">
      <w:pPr>
        <w:tabs>
          <w:tab w:val="center" w:pos="764"/>
          <w:tab w:val="center" w:pos="1658"/>
          <w:tab w:val="center" w:pos="2378"/>
          <w:tab w:val="center" w:pos="3099"/>
          <w:tab w:val="center" w:pos="3819"/>
          <w:tab w:val="center" w:pos="4539"/>
          <w:tab w:val="center" w:pos="5259"/>
        </w:tabs>
        <w:spacing w:after="338" w:line="259" w:lineRule="auto"/>
        <w:ind w:left="0" w:firstLine="0"/>
        <w:jc w:val="left"/>
      </w:pPr>
      <w:r>
        <w:rPr>
          <w:rFonts w:ascii="Calibri" w:eastAsia="Calibri" w:hAnsi="Calibri" w:cs="Calibri"/>
        </w:rPr>
        <w:tab/>
      </w:r>
      <w:r>
        <w:rPr>
          <w:i/>
          <w:sz w:val="18"/>
        </w:rPr>
        <w:t>Source: DMO</w:t>
      </w:r>
      <w:r>
        <w:rPr>
          <w:sz w:val="18"/>
        </w:rPr>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r>
        <w:rPr>
          <w:sz w:val="18"/>
        </w:rPr>
        <w:tab/>
        <w:t xml:space="preserve">   </w:t>
      </w:r>
    </w:p>
    <w:p w:rsidR="001C682A" w:rsidRDefault="00B03C38">
      <w:pPr>
        <w:pStyle w:val="Heading4"/>
        <w:tabs>
          <w:tab w:val="center" w:pos="460"/>
          <w:tab w:val="center" w:pos="2044"/>
        </w:tabs>
        <w:spacing w:after="0" w:line="259" w:lineRule="auto"/>
        <w:ind w:left="0" w:firstLine="0"/>
      </w:pPr>
      <w:bookmarkStart w:id="87" w:name="_Toc389434"/>
      <w:r>
        <w:rPr>
          <w:rFonts w:ascii="Calibri" w:eastAsia="Calibri" w:hAnsi="Calibri" w:cs="Calibri"/>
          <w:color w:val="000000"/>
          <w:sz w:val="22"/>
        </w:rPr>
        <w:tab/>
      </w:r>
      <w:r>
        <w:rPr>
          <w:rFonts w:ascii="Calibri" w:eastAsia="Calibri" w:hAnsi="Calibri" w:cs="Calibri"/>
          <w:color w:val="1F3763"/>
          <w:sz w:val="24"/>
        </w:rPr>
        <w:t xml:space="preserve">8.1.2 </w:t>
      </w:r>
      <w:r>
        <w:rPr>
          <w:rFonts w:ascii="Calibri" w:eastAsia="Calibri" w:hAnsi="Calibri" w:cs="Calibri"/>
          <w:color w:val="1F3763"/>
          <w:sz w:val="24"/>
        </w:rPr>
        <w:tab/>
        <w:t xml:space="preserve">Debt Service Payments </w:t>
      </w:r>
      <w:bookmarkEnd w:id="87"/>
    </w:p>
    <w:p w:rsidR="001C682A" w:rsidRDefault="00B03C38">
      <w:pPr>
        <w:spacing w:after="14" w:line="259" w:lineRule="auto"/>
        <w:ind w:left="305" w:right="514" w:firstLine="0"/>
        <w:jc w:val="left"/>
      </w:pPr>
      <w:r>
        <w:rPr>
          <w:noProof/>
        </w:rPr>
        <w:drawing>
          <wp:anchor distT="0" distB="0" distL="114300" distR="114300" simplePos="0" relativeHeight="251672576" behindDoc="0" locked="0" layoutInCell="1" allowOverlap="0">
            <wp:simplePos x="0" y="0"/>
            <wp:positionH relativeFrom="column">
              <wp:posOffset>2691079</wp:posOffset>
            </wp:positionH>
            <wp:positionV relativeFrom="paragraph">
              <wp:posOffset>51864</wp:posOffset>
            </wp:positionV>
            <wp:extent cx="3378200" cy="1981200"/>
            <wp:effectExtent l="0" t="0" r="0" b="0"/>
            <wp:wrapSquare wrapText="bothSides"/>
            <wp:docPr id="38500" name="Picture 38500"/>
            <wp:cNvGraphicFramePr/>
            <a:graphic xmlns:a="http://schemas.openxmlformats.org/drawingml/2006/main">
              <a:graphicData uri="http://schemas.openxmlformats.org/drawingml/2006/picture">
                <pic:pic xmlns:pic="http://schemas.openxmlformats.org/drawingml/2006/picture">
                  <pic:nvPicPr>
                    <pic:cNvPr id="38500" name="Picture 38500"/>
                    <pic:cNvPicPr/>
                  </pic:nvPicPr>
                  <pic:blipFill>
                    <a:blip r:embed="rId36"/>
                    <a:stretch>
                      <a:fillRect/>
                    </a:stretch>
                  </pic:blipFill>
                  <pic:spPr>
                    <a:xfrm>
                      <a:off x="0" y="0"/>
                      <a:ext cx="3378200" cy="1981200"/>
                    </a:xfrm>
                    <a:prstGeom prst="rect">
                      <a:avLst/>
                    </a:prstGeom>
                  </pic:spPr>
                </pic:pic>
              </a:graphicData>
            </a:graphic>
          </wp:anchor>
        </w:drawing>
      </w:r>
      <w:r>
        <w:rPr>
          <w:b/>
          <w:sz w:val="20"/>
        </w:rPr>
        <w:t xml:space="preserve">Figure 8.2: Debt Service Payments (2014 </w:t>
      </w:r>
    </w:p>
    <w:p w:rsidR="001C682A" w:rsidRDefault="00B03C38">
      <w:pPr>
        <w:spacing w:after="7" w:line="273" w:lineRule="auto"/>
        <w:ind w:left="203" w:right="1625" w:firstLine="3298"/>
        <w:jc w:val="left"/>
      </w:pPr>
      <w:r>
        <w:rPr>
          <w:b/>
          <w:sz w:val="20"/>
        </w:rPr>
        <w:t>- 2018)</w:t>
      </w:r>
      <w:r>
        <w:rPr>
          <w:b/>
          <w:color w:val="FF0000"/>
          <w:sz w:val="24"/>
        </w:rPr>
        <w:t xml:space="preserve"> </w:t>
      </w:r>
      <w:r>
        <w:t xml:space="preserve">Whilst the Debt Management Strategy implemented by the Government to reduce the cost of refinancing short-term domestic debt with cheaper and </w:t>
      </w:r>
      <w:proofErr w:type="spellStart"/>
      <w:r>
        <w:t>longertenored</w:t>
      </w:r>
      <w:proofErr w:type="spellEnd"/>
      <w:r>
        <w:t xml:space="preserve"> </w:t>
      </w:r>
      <w:r>
        <w:tab/>
        <w:t xml:space="preserve">external </w:t>
      </w:r>
      <w:r>
        <w:tab/>
        <w:t xml:space="preserve">debt </w:t>
      </w:r>
      <w:r>
        <w:tab/>
        <w:t xml:space="preserve">and </w:t>
      </w:r>
      <w:r>
        <w:tab/>
        <w:t xml:space="preserve">lower domestic interest rates, resulted in the decrease in Domestic Debt Service in the year under review. As a result, the Total Public Debt Service payment slightly </w:t>
      </w:r>
      <w:r>
        <w:tab/>
        <w:t xml:space="preserve">decreased </w:t>
      </w:r>
      <w:r>
        <w:tab/>
        <w:t xml:space="preserve">from          </w:t>
      </w:r>
    </w:p>
    <w:p w:rsidR="001C682A" w:rsidRDefault="00B03C38">
      <w:pPr>
        <w:ind w:left="236" w:right="816"/>
      </w:pPr>
      <w:r>
        <w:lastRenderedPageBreak/>
        <w:t xml:space="preserve">US$7,256.90 million in 2018 to US$7,062.47 million in 2019, representing a decrease of US$194.43 million or 2.68 percent.  </w:t>
      </w:r>
    </w:p>
    <w:p w:rsidR="001C682A" w:rsidRDefault="00B03C38">
      <w:pPr>
        <w:spacing w:after="16" w:line="259" w:lineRule="auto"/>
        <w:ind w:left="218" w:firstLine="0"/>
        <w:jc w:val="left"/>
      </w:pPr>
      <w:r>
        <w:t xml:space="preserve"> </w:t>
      </w:r>
    </w:p>
    <w:p w:rsidR="001C682A" w:rsidRDefault="00B03C38">
      <w:pPr>
        <w:spacing w:after="459"/>
        <w:ind w:left="236" w:right="816"/>
      </w:pPr>
      <w:r>
        <w:t xml:space="preserve">In terms of the fiscal burden associated with the relatively high debt service payments, it is expected that the various reforms and initiatives undertaken by the Government in the critical sectors of the economy, aimed at enhancing revenue generation, would subsequently  </w:t>
      </w:r>
    </w:p>
    <w:p w:rsidR="001C682A" w:rsidRDefault="00B03C38">
      <w:pPr>
        <w:pStyle w:val="Heading3"/>
        <w:tabs>
          <w:tab w:val="center" w:pos="415"/>
          <w:tab w:val="center" w:pos="2809"/>
        </w:tabs>
        <w:spacing w:after="0" w:line="259" w:lineRule="auto"/>
        <w:ind w:left="0" w:firstLine="0"/>
      </w:pPr>
      <w:bookmarkStart w:id="88" w:name="_Toc389435"/>
      <w:r>
        <w:rPr>
          <w:rFonts w:ascii="Calibri" w:eastAsia="Calibri" w:hAnsi="Calibri" w:cs="Calibri"/>
          <w:color w:val="000000"/>
          <w:sz w:val="22"/>
        </w:rPr>
        <w:tab/>
      </w:r>
      <w:r>
        <w:rPr>
          <w:b/>
        </w:rPr>
        <w:t xml:space="preserve">8.2 </w:t>
      </w:r>
      <w:r>
        <w:rPr>
          <w:b/>
        </w:rPr>
        <w:tab/>
        <w:t xml:space="preserve">Debt Management Strategy </w:t>
      </w:r>
      <w:bookmarkEnd w:id="88"/>
    </w:p>
    <w:p w:rsidR="001C682A" w:rsidRDefault="00B03C38">
      <w:pPr>
        <w:spacing w:after="190" w:line="259" w:lineRule="auto"/>
        <w:ind w:left="190" w:firstLine="0"/>
        <w:jc w:val="left"/>
      </w:pPr>
      <w:r>
        <w:rPr>
          <w:rFonts w:ascii="Calibri" w:eastAsia="Calibri" w:hAnsi="Calibri" w:cs="Calibri"/>
          <w:noProof/>
        </w:rPr>
        <mc:AlternateContent>
          <mc:Choice Requires="wpg">
            <w:drawing>
              <wp:inline distT="0" distB="0" distL="0" distR="0">
                <wp:extent cx="5764658" cy="6097"/>
                <wp:effectExtent l="0" t="0" r="0" b="0"/>
                <wp:docPr id="332741" name="Group 332741"/>
                <wp:cNvGraphicFramePr/>
                <a:graphic xmlns:a="http://schemas.openxmlformats.org/drawingml/2006/main">
                  <a:graphicData uri="http://schemas.microsoft.com/office/word/2010/wordprocessingGroup">
                    <wpg:wgp>
                      <wpg:cNvGrpSpPr/>
                      <wpg:grpSpPr>
                        <a:xfrm>
                          <a:off x="0" y="0"/>
                          <a:ext cx="5764658" cy="6097"/>
                          <a:chOff x="0" y="0"/>
                          <a:chExt cx="5764658" cy="6097"/>
                        </a:xfrm>
                      </wpg:grpSpPr>
                      <wps:wsp>
                        <wps:cNvPr id="395823" name="Shape 395823"/>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32741" style="width:453.91pt;height:0.480042pt;mso-position-horizontal-relative:char;mso-position-vertical-relative:line" coordsize="57646,60">
                <v:shape id="Shape 395824"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spacing w:after="78"/>
        <w:ind w:left="236" w:right="816"/>
      </w:pPr>
      <w:r>
        <w:t xml:space="preserve">Nigeria’s Medium-Term Debt Management Strategy (MTDS), 2016-2019, provided the basis for Government’s borrowings to meet its financing needs at least cost and with prudent degree of risk, as well as ensured the sustainability of the Public Debt Portfolio within the year under review. The focus of the Strategy was aimed at attaining the following targets: </w:t>
      </w:r>
    </w:p>
    <w:p w:rsidR="001C682A" w:rsidRDefault="00B03C38">
      <w:pPr>
        <w:ind w:left="938" w:right="816" w:hanging="360"/>
      </w:pPr>
      <w:r>
        <w:t xml:space="preserve">▪ An increase in External financing, with a view to rebalancing the public debt portfolio and achieve an optimal debt composition of 60:40 for Domestic Debt and External Debt; </w:t>
      </w:r>
    </w:p>
    <w:tbl>
      <w:tblPr>
        <w:tblStyle w:val="TableGrid"/>
        <w:tblW w:w="8724" w:type="dxa"/>
        <w:tblInd w:w="576" w:type="dxa"/>
        <w:tblLook w:val="04A0" w:firstRow="1" w:lastRow="0" w:firstColumn="1" w:lastColumn="0" w:noHBand="0" w:noVBand="1"/>
      </w:tblPr>
      <w:tblGrid>
        <w:gridCol w:w="355"/>
        <w:gridCol w:w="8369"/>
      </w:tblGrid>
      <w:tr w:rsidR="001C682A">
        <w:trPr>
          <w:trHeight w:val="687"/>
        </w:trPr>
        <w:tc>
          <w:tcPr>
            <w:tcW w:w="355" w:type="dxa"/>
            <w:tcBorders>
              <w:top w:val="nil"/>
              <w:left w:val="nil"/>
              <w:bottom w:val="nil"/>
              <w:right w:val="nil"/>
            </w:tcBorders>
          </w:tcPr>
          <w:p w:rsidR="001C682A" w:rsidRDefault="00B03C38">
            <w:pPr>
              <w:spacing w:after="0" w:line="259" w:lineRule="auto"/>
              <w:ind w:left="2" w:firstLine="0"/>
              <w:jc w:val="left"/>
            </w:pPr>
            <w:r>
              <w:t xml:space="preserve">▪ </w:t>
            </w:r>
          </w:p>
        </w:tc>
        <w:tc>
          <w:tcPr>
            <w:tcW w:w="8369" w:type="dxa"/>
            <w:tcBorders>
              <w:top w:val="nil"/>
              <w:left w:val="nil"/>
              <w:bottom w:val="nil"/>
              <w:right w:val="nil"/>
            </w:tcBorders>
          </w:tcPr>
          <w:p w:rsidR="001C682A" w:rsidRDefault="00B03C38">
            <w:pPr>
              <w:spacing w:after="0" w:line="259" w:lineRule="auto"/>
              <w:ind w:left="7" w:firstLine="0"/>
              <w:jc w:val="left"/>
            </w:pPr>
            <w:r>
              <w:t xml:space="preserve">Attain a Domestic Debt Mix of 75:25 for long and short-term debts, respectively, so as to reduce the cost of debt service and roll-over risk; </w:t>
            </w:r>
          </w:p>
        </w:tc>
      </w:tr>
      <w:tr w:rsidR="001C682A">
        <w:trPr>
          <w:trHeight w:val="794"/>
        </w:trPr>
        <w:tc>
          <w:tcPr>
            <w:tcW w:w="355" w:type="dxa"/>
            <w:tcBorders>
              <w:top w:val="nil"/>
              <w:left w:val="nil"/>
              <w:bottom w:val="nil"/>
              <w:right w:val="nil"/>
            </w:tcBorders>
          </w:tcPr>
          <w:p w:rsidR="001C682A" w:rsidRDefault="00B03C38">
            <w:pPr>
              <w:spacing w:after="0" w:line="259" w:lineRule="auto"/>
              <w:ind w:left="2" w:firstLine="0"/>
              <w:jc w:val="left"/>
            </w:pPr>
            <w:r>
              <w:t xml:space="preserve">▪ </w:t>
            </w:r>
          </w:p>
        </w:tc>
        <w:tc>
          <w:tcPr>
            <w:tcW w:w="8369" w:type="dxa"/>
            <w:tcBorders>
              <w:top w:val="nil"/>
              <w:left w:val="nil"/>
              <w:bottom w:val="nil"/>
              <w:right w:val="nil"/>
            </w:tcBorders>
            <w:vAlign w:val="center"/>
          </w:tcPr>
          <w:p w:rsidR="001C682A" w:rsidRDefault="00B03C38">
            <w:pPr>
              <w:spacing w:after="0" w:line="259" w:lineRule="auto"/>
              <w:ind w:left="7" w:firstLine="0"/>
              <w:jc w:val="left"/>
            </w:pPr>
            <w:r>
              <w:t xml:space="preserve">Keep the share of debt maturing within 1 year, as a percentage of Total Debt Portfolio at not more than 20%; </w:t>
            </w:r>
          </w:p>
        </w:tc>
      </w:tr>
      <w:tr w:rsidR="001C682A">
        <w:trPr>
          <w:trHeight w:val="644"/>
        </w:trPr>
        <w:tc>
          <w:tcPr>
            <w:tcW w:w="355" w:type="dxa"/>
            <w:tcBorders>
              <w:top w:val="nil"/>
              <w:left w:val="nil"/>
              <w:bottom w:val="nil"/>
              <w:right w:val="nil"/>
            </w:tcBorders>
          </w:tcPr>
          <w:p w:rsidR="001C682A" w:rsidRDefault="00B03C38">
            <w:pPr>
              <w:spacing w:after="0" w:line="259" w:lineRule="auto"/>
              <w:ind w:left="0" w:firstLine="0"/>
              <w:jc w:val="left"/>
            </w:pPr>
            <w:r>
              <w:t xml:space="preserve">▪ </w:t>
            </w:r>
          </w:p>
        </w:tc>
        <w:tc>
          <w:tcPr>
            <w:tcW w:w="8369" w:type="dxa"/>
            <w:tcBorders>
              <w:top w:val="nil"/>
              <w:left w:val="nil"/>
              <w:bottom w:val="nil"/>
              <w:right w:val="nil"/>
            </w:tcBorders>
            <w:vAlign w:val="bottom"/>
          </w:tcPr>
          <w:p w:rsidR="001C682A" w:rsidRDefault="00B03C38">
            <w:pPr>
              <w:spacing w:after="0" w:line="259" w:lineRule="auto"/>
              <w:ind w:left="0" w:firstLine="0"/>
              <w:jc w:val="left"/>
            </w:pPr>
            <w:r>
              <w:t xml:space="preserve">Keep the Average Time-to-Maturity (ATM) for the Total Debt Portfolio at a minimum of 10 years.  </w:t>
            </w:r>
          </w:p>
        </w:tc>
      </w:tr>
    </w:tbl>
    <w:p w:rsidR="001C682A" w:rsidRDefault="00B03C38">
      <w:pPr>
        <w:spacing w:after="183"/>
        <w:ind w:left="236" w:right="816"/>
      </w:pPr>
      <w:r>
        <w:t xml:space="preserve">Accordingly, significant improvement was recorded in rebalancing the composition of the Total Public Debt portfolio, while the other targets were surpassed as at December 31, 2019. The ratio of Domestic to External Debt in the Total Public Debt was 67:33 as at December 31, 2019, relative to the targeted composition of 60:40 by end of 2019. The Domestic Debt Mix improved substantially to 81:19 for long and short-term debts respectively as at December 31, 2019, exceeding the targeted Domestic Debt mix of 75:25 for long and short-term debts by end of 2019. This indicates a remarkable improvement when compared to the Domestic Debt mix of 69:31 for long and short-term debts at the commencement of the Strategy in 2016.  </w:t>
      </w:r>
    </w:p>
    <w:p w:rsidR="001C682A" w:rsidRDefault="00B03C38">
      <w:pPr>
        <w:spacing w:after="190"/>
        <w:ind w:left="236" w:right="816"/>
      </w:pPr>
      <w:r>
        <w:t xml:space="preserve">The strategy of borrowing long, and restructuring of the domestic debt portfolio by refinancing matured NTBs with the proceeds of the Eurobonds and lengthening the FGN Bonds Yield Curve up to 30 years within the period contributed to the improvements recorded. The proportion of debt maturing within one year was 15.81 percent of the Total Public Debt as at December 31, 2019, relative to the target of not more than 20 percent of the Total Public Debt by end-2019. This also reflects a significant improvement compared to the proportion of debt maturing in one year at 29.15 percent of the Total Public Debt at the beginning of the Strategy. In the same vein, the Average Time-to-Maturity (ATM) for the Total Public Debt portfolio was 10.50 years as at December 31, 2019, which also exceeded the minimum target of 10 years by end-2019. This achievement has substantially reduced the refinancing risk for the Total Public Debt, compared to the level of 7.15 years at the commencement of the Strategy in 2016.  </w:t>
      </w:r>
    </w:p>
    <w:p w:rsidR="001C682A" w:rsidRDefault="00B03C38">
      <w:pPr>
        <w:spacing w:after="459"/>
        <w:ind w:left="236" w:right="816"/>
      </w:pPr>
      <w:r>
        <w:t xml:space="preserve">Overall, effective implementation of the country’s Debt Management Strategy has helped to moderate the cost of borrowing, reduced the share of short-term debt in the Portfolio and Refinancing Risk, further extended the Yield Curve in the domestic Bond Market to 30 years </w:t>
      </w:r>
      <w:r>
        <w:lastRenderedPageBreak/>
        <w:t xml:space="preserve">and lengthened the maturity profile of the Public Debt portfolio, as well as increased the Foreign Reserves of the country, through the issuance of Eurobonds and Diaspora Bond in the sum of USD10.16 billion between 2017 and 2018, which helped to stabilize the Naira Exchange Rate.  </w:t>
      </w:r>
    </w:p>
    <w:p w:rsidR="001C682A" w:rsidRDefault="00B03C38">
      <w:pPr>
        <w:pStyle w:val="Heading3"/>
        <w:tabs>
          <w:tab w:val="center" w:pos="413"/>
          <w:tab w:val="center" w:pos="4569"/>
        </w:tabs>
        <w:ind w:left="0" w:firstLine="0"/>
      </w:pPr>
      <w:bookmarkStart w:id="89" w:name="_Toc389436"/>
      <w:r>
        <w:rPr>
          <w:rFonts w:ascii="Calibri" w:eastAsia="Calibri" w:hAnsi="Calibri" w:cs="Calibri"/>
          <w:color w:val="000000"/>
          <w:sz w:val="22"/>
        </w:rPr>
        <w:tab/>
      </w:r>
      <w:r>
        <w:t xml:space="preserve">8.3 </w:t>
      </w:r>
      <w:r>
        <w:tab/>
        <w:t xml:space="preserve">Nature and Fiscal Implications of Contingent Liabilities </w:t>
      </w:r>
      <w:bookmarkEnd w:id="89"/>
    </w:p>
    <w:p w:rsidR="001C682A" w:rsidRDefault="00B03C38">
      <w:pPr>
        <w:spacing w:after="190" w:line="259" w:lineRule="auto"/>
        <w:ind w:left="190" w:firstLine="0"/>
        <w:jc w:val="left"/>
      </w:pPr>
      <w:r>
        <w:rPr>
          <w:rFonts w:ascii="Calibri" w:eastAsia="Calibri" w:hAnsi="Calibri" w:cs="Calibri"/>
          <w:noProof/>
        </w:rPr>
        <mc:AlternateContent>
          <mc:Choice Requires="wpg">
            <w:drawing>
              <wp:inline distT="0" distB="0" distL="0" distR="0">
                <wp:extent cx="5764658" cy="6097"/>
                <wp:effectExtent l="0" t="0" r="0" b="0"/>
                <wp:docPr id="332352" name="Group 332352"/>
                <wp:cNvGraphicFramePr/>
                <a:graphic xmlns:a="http://schemas.openxmlformats.org/drawingml/2006/main">
                  <a:graphicData uri="http://schemas.microsoft.com/office/word/2010/wordprocessingGroup">
                    <wpg:wgp>
                      <wpg:cNvGrpSpPr/>
                      <wpg:grpSpPr>
                        <a:xfrm>
                          <a:off x="0" y="0"/>
                          <a:ext cx="5764658" cy="6097"/>
                          <a:chOff x="0" y="0"/>
                          <a:chExt cx="5764658" cy="6097"/>
                        </a:xfrm>
                      </wpg:grpSpPr>
                      <wps:wsp>
                        <wps:cNvPr id="395825" name="Shape 395825"/>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32352" style="width:453.91pt;height:0.480042pt;mso-position-horizontal-relative:char;mso-position-vertical-relative:line" coordsize="57646,60">
                <v:shape id="Shape 395826"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ind w:left="236" w:right="816"/>
      </w:pPr>
      <w:r>
        <w:t xml:space="preserve">Given the Federal Government of Nigeria (FGN’s) prioritisation of the development of infrastructure which requires new and more creative ways of financing, there will be a growing use of off-balance sheet products such as Guarantees, Letters of Comforts and like instruments, by the Government. These products which constitute Contingent Liabilities (CLs) are also deployed to encourage private sector participation in the development of critical infrastructure and projects and other sectors of the economy through Public-Private Partnerships (PPPs), Concessions and other structures, which provide significant social and economic benefit to Nigeria. </w:t>
      </w:r>
    </w:p>
    <w:p w:rsidR="001C682A" w:rsidRDefault="00B03C38">
      <w:pPr>
        <w:spacing w:line="259" w:lineRule="auto"/>
        <w:ind w:left="218" w:firstLine="0"/>
        <w:jc w:val="left"/>
      </w:pPr>
      <w:r>
        <w:t xml:space="preserve"> </w:t>
      </w:r>
    </w:p>
    <w:p w:rsidR="001C682A" w:rsidRDefault="00B03C38">
      <w:pPr>
        <w:spacing w:after="176"/>
        <w:ind w:left="236" w:right="816"/>
      </w:pPr>
      <w:r>
        <w:t xml:space="preserve">CLs are sources of fiscal risk to the Government and can cause a substantial burden on the budget if they crystallise. Thus, in order to ensure and promote transparency, prudence and accountability in the management of the CLs, the FGN is developing Guidelines to serve as policy framework and guiding principles on issuance of Guarantees, Indemnities and Letters of Comfort and like instruments. </w:t>
      </w:r>
    </w:p>
    <w:p w:rsidR="001C682A" w:rsidRDefault="00B03C38">
      <w:pPr>
        <w:spacing w:after="185"/>
        <w:ind w:left="236" w:right="816"/>
      </w:pPr>
      <w:r>
        <w:t xml:space="preserve">The FGN’s exposure to Contingent Liabilities as at December 31, 2019 declined to </w:t>
      </w:r>
      <w:r>
        <w:rPr>
          <w:dstrike/>
        </w:rPr>
        <w:t>N</w:t>
      </w:r>
      <w:r>
        <w:t>2,579.836 billion and accounted for 1.79 percent of GDP (</w:t>
      </w:r>
      <w:r>
        <w:rPr>
          <w:dstrike/>
        </w:rPr>
        <w:t>N</w:t>
      </w:r>
      <w:r>
        <w:t xml:space="preserve">144,210.492 billion), compared to </w:t>
      </w:r>
      <w:r>
        <w:rPr>
          <w:dstrike/>
        </w:rPr>
        <w:t>N</w:t>
      </w:r>
      <w:r>
        <w:t>2,716.361 billion or 2.13 percent of GDP (</w:t>
      </w:r>
      <w:r>
        <w:rPr>
          <w:dstrike/>
        </w:rPr>
        <w:t>N</w:t>
      </w:r>
      <w:r>
        <w:t xml:space="preserve">127,762.545 billion) as at December 31, 2018.  </w:t>
      </w:r>
    </w:p>
    <w:p w:rsidR="001C682A" w:rsidRDefault="00B03C38">
      <w:pPr>
        <w:spacing w:after="10" w:line="249" w:lineRule="auto"/>
        <w:ind w:left="213" w:right="504"/>
        <w:jc w:val="left"/>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 xml:space="preserve">Table 8.1 shows the actual Contingent Liability profile of the FGN for the period, 20182019, and projected liability for the Medium-term, 2020-2023. </w:t>
      </w:r>
    </w:p>
    <w:p w:rsidR="000F12D5" w:rsidRDefault="000F12D5">
      <w:pPr>
        <w:spacing w:after="10" w:line="249" w:lineRule="auto"/>
        <w:ind w:left="213" w:right="504"/>
        <w:jc w:val="left"/>
      </w:pPr>
    </w:p>
    <w:p w:rsidR="000F12D5" w:rsidRDefault="000F12D5">
      <w:pPr>
        <w:spacing w:after="10" w:line="249" w:lineRule="auto"/>
        <w:ind w:left="213" w:right="504"/>
        <w:jc w:val="left"/>
      </w:pPr>
    </w:p>
    <w:p w:rsidR="000F12D5" w:rsidRDefault="000F12D5">
      <w:pPr>
        <w:spacing w:after="10" w:line="249" w:lineRule="auto"/>
        <w:ind w:left="213" w:right="504"/>
        <w:jc w:val="left"/>
      </w:pPr>
    </w:p>
    <w:p w:rsidR="000F12D5" w:rsidRDefault="000F12D5">
      <w:pPr>
        <w:spacing w:after="10" w:line="249" w:lineRule="auto"/>
        <w:ind w:left="213" w:right="504"/>
        <w:jc w:val="left"/>
      </w:pPr>
    </w:p>
    <w:p w:rsidR="000F12D5" w:rsidRDefault="000F12D5">
      <w:pPr>
        <w:spacing w:after="10" w:line="249" w:lineRule="auto"/>
        <w:ind w:left="213" w:right="504"/>
        <w:jc w:val="left"/>
      </w:pPr>
    </w:p>
    <w:p w:rsidR="000F12D5" w:rsidRDefault="000F12D5">
      <w:pPr>
        <w:spacing w:after="10" w:line="249" w:lineRule="auto"/>
        <w:ind w:left="213" w:right="504"/>
        <w:jc w:val="left"/>
      </w:pPr>
    </w:p>
    <w:p w:rsidR="000F12D5" w:rsidRDefault="000F12D5">
      <w:pPr>
        <w:spacing w:after="10" w:line="249" w:lineRule="auto"/>
        <w:ind w:left="213" w:right="504"/>
        <w:jc w:val="left"/>
      </w:pPr>
    </w:p>
    <w:p w:rsidR="000F12D5" w:rsidRDefault="000F12D5">
      <w:pPr>
        <w:spacing w:after="10" w:line="249" w:lineRule="auto"/>
        <w:ind w:left="213" w:right="504"/>
        <w:jc w:val="left"/>
      </w:pPr>
    </w:p>
    <w:p w:rsidR="000F12D5" w:rsidRDefault="000F12D5">
      <w:pPr>
        <w:spacing w:after="10" w:line="249" w:lineRule="auto"/>
        <w:ind w:left="213" w:right="504"/>
        <w:jc w:val="left"/>
      </w:pPr>
    </w:p>
    <w:p w:rsidR="000F12D5" w:rsidRDefault="000F12D5">
      <w:pPr>
        <w:spacing w:after="10" w:line="249" w:lineRule="auto"/>
        <w:ind w:left="213" w:right="504"/>
        <w:jc w:val="left"/>
      </w:pPr>
    </w:p>
    <w:p w:rsidR="000F12D5" w:rsidRDefault="000F12D5">
      <w:pPr>
        <w:spacing w:after="10" w:line="249" w:lineRule="auto"/>
        <w:ind w:left="213" w:right="504"/>
        <w:jc w:val="left"/>
      </w:pPr>
    </w:p>
    <w:p w:rsidR="000F12D5" w:rsidRDefault="000F12D5">
      <w:pPr>
        <w:spacing w:after="10" w:line="249" w:lineRule="auto"/>
        <w:ind w:left="213" w:right="504"/>
        <w:jc w:val="left"/>
      </w:pPr>
    </w:p>
    <w:p w:rsidR="000F12D5" w:rsidRDefault="000F12D5">
      <w:pPr>
        <w:spacing w:after="10" w:line="249" w:lineRule="auto"/>
        <w:ind w:left="213" w:right="504"/>
        <w:jc w:val="left"/>
      </w:pPr>
    </w:p>
    <w:p w:rsidR="000F12D5" w:rsidRDefault="000F12D5">
      <w:pPr>
        <w:spacing w:after="10" w:line="249" w:lineRule="auto"/>
        <w:ind w:left="213" w:right="504"/>
        <w:jc w:val="left"/>
      </w:pPr>
    </w:p>
    <w:p w:rsidR="000F12D5" w:rsidRDefault="000F12D5">
      <w:pPr>
        <w:spacing w:after="10" w:line="249" w:lineRule="auto"/>
        <w:ind w:left="213" w:right="504"/>
        <w:jc w:val="left"/>
      </w:pPr>
    </w:p>
    <w:p w:rsidR="000F12D5" w:rsidRDefault="000F12D5">
      <w:pPr>
        <w:spacing w:after="10" w:line="249" w:lineRule="auto"/>
        <w:ind w:left="213" w:right="504"/>
        <w:jc w:val="left"/>
      </w:pPr>
    </w:p>
    <w:p w:rsidR="000F12D5" w:rsidRDefault="000F12D5">
      <w:pPr>
        <w:spacing w:after="10" w:line="249" w:lineRule="auto"/>
        <w:ind w:left="213" w:right="504"/>
        <w:jc w:val="left"/>
      </w:pPr>
    </w:p>
    <w:p w:rsidR="000F12D5" w:rsidRDefault="000F12D5">
      <w:pPr>
        <w:spacing w:after="10" w:line="249" w:lineRule="auto"/>
        <w:ind w:left="213" w:right="504"/>
        <w:jc w:val="left"/>
      </w:pPr>
    </w:p>
    <w:p w:rsidR="000F12D5" w:rsidRDefault="000F12D5">
      <w:pPr>
        <w:spacing w:after="10" w:line="249" w:lineRule="auto"/>
        <w:ind w:left="213" w:right="504"/>
        <w:jc w:val="left"/>
      </w:pPr>
    </w:p>
    <w:p w:rsidR="000F12D5" w:rsidRDefault="000F12D5">
      <w:pPr>
        <w:spacing w:after="10" w:line="249" w:lineRule="auto"/>
        <w:ind w:left="213" w:right="504"/>
        <w:jc w:val="left"/>
      </w:pPr>
    </w:p>
    <w:p w:rsidR="001C682A" w:rsidRDefault="00B03C38">
      <w:pPr>
        <w:spacing w:after="17" w:line="259" w:lineRule="auto"/>
        <w:ind w:left="218" w:firstLine="0"/>
        <w:jc w:val="left"/>
      </w:pPr>
      <w:r>
        <w:rPr>
          <w:rFonts w:ascii="Tahoma" w:eastAsia="Tahoma" w:hAnsi="Tahoma" w:cs="Tahoma"/>
          <w:sz w:val="20"/>
        </w:rPr>
        <w:t xml:space="preserve"> </w:t>
      </w:r>
      <w:bookmarkStart w:id="90" w:name="_Hlk49584258"/>
    </w:p>
    <w:p w:rsidR="001C682A" w:rsidRDefault="00B03C38">
      <w:pPr>
        <w:spacing w:after="0" w:line="259" w:lineRule="auto"/>
        <w:ind w:left="218" w:firstLine="0"/>
        <w:jc w:val="left"/>
      </w:pPr>
      <w:r>
        <w:rPr>
          <w:rFonts w:ascii="Tahoma" w:eastAsia="Tahoma" w:hAnsi="Tahoma" w:cs="Tahoma"/>
          <w:sz w:val="20"/>
        </w:rPr>
        <w:lastRenderedPageBreak/>
        <w:t xml:space="preserve">Table 8.1: FGN Guarantees and Contingent Liabilities: Actual: 2018-2019 &amp; Projections: 2020 – 2023 </w:t>
      </w:r>
    </w:p>
    <w:p w:rsidR="001C682A" w:rsidRDefault="00B03C38">
      <w:pPr>
        <w:spacing w:after="0" w:line="259" w:lineRule="auto"/>
        <w:ind w:left="0" w:right="785" w:firstLine="0"/>
        <w:jc w:val="right"/>
      </w:pPr>
      <w:r>
        <w:rPr>
          <w:noProof/>
        </w:rPr>
        <w:drawing>
          <wp:inline distT="0" distB="0" distL="0" distR="0">
            <wp:extent cx="5726938" cy="4700905"/>
            <wp:effectExtent l="0" t="0" r="0" b="0"/>
            <wp:docPr id="40223" name="Picture 40223"/>
            <wp:cNvGraphicFramePr/>
            <a:graphic xmlns:a="http://schemas.openxmlformats.org/drawingml/2006/main">
              <a:graphicData uri="http://schemas.openxmlformats.org/drawingml/2006/picture">
                <pic:pic xmlns:pic="http://schemas.openxmlformats.org/drawingml/2006/picture">
                  <pic:nvPicPr>
                    <pic:cNvPr id="40223" name="Picture 40223"/>
                    <pic:cNvPicPr/>
                  </pic:nvPicPr>
                  <pic:blipFill>
                    <a:blip r:embed="rId37"/>
                    <a:stretch>
                      <a:fillRect/>
                    </a:stretch>
                  </pic:blipFill>
                  <pic:spPr>
                    <a:xfrm>
                      <a:off x="0" y="0"/>
                      <a:ext cx="5726938" cy="4700905"/>
                    </a:xfrm>
                    <a:prstGeom prst="rect">
                      <a:avLst/>
                    </a:prstGeom>
                  </pic:spPr>
                </pic:pic>
              </a:graphicData>
            </a:graphic>
          </wp:inline>
        </w:drawing>
      </w:r>
      <w:r>
        <w:rPr>
          <w:rFonts w:ascii="Tahoma" w:eastAsia="Tahoma" w:hAnsi="Tahoma" w:cs="Tahoma"/>
          <w:sz w:val="16"/>
        </w:rPr>
        <w:t xml:space="preserve"> </w:t>
      </w:r>
    </w:p>
    <w:p w:rsidR="001C682A" w:rsidRDefault="00B03C38">
      <w:pPr>
        <w:spacing w:after="0" w:line="259" w:lineRule="auto"/>
        <w:ind w:left="213"/>
        <w:jc w:val="left"/>
      </w:pPr>
      <w:r>
        <w:rPr>
          <w:i/>
          <w:sz w:val="18"/>
        </w:rPr>
        <w:t xml:space="preserve">Source: DMO </w:t>
      </w:r>
    </w:p>
    <w:bookmarkEnd w:id="90"/>
    <w:p w:rsidR="001C682A" w:rsidRDefault="00B03C38">
      <w:pPr>
        <w:spacing w:after="55" w:line="259" w:lineRule="auto"/>
        <w:ind w:left="218" w:firstLine="0"/>
        <w:jc w:val="left"/>
      </w:pPr>
      <w:r>
        <w:rPr>
          <w:rFonts w:ascii="Tahoma" w:eastAsia="Tahoma" w:hAnsi="Tahoma" w:cs="Tahoma"/>
          <w:sz w:val="14"/>
        </w:rPr>
        <w:t xml:space="preserve"> </w:t>
      </w:r>
    </w:p>
    <w:p w:rsidR="001C682A" w:rsidRDefault="00B03C38">
      <w:pPr>
        <w:spacing w:after="0" w:line="259" w:lineRule="auto"/>
        <w:ind w:left="213"/>
        <w:jc w:val="left"/>
      </w:pPr>
      <w:r>
        <w:rPr>
          <w:b/>
        </w:rPr>
        <w:t xml:space="preserve">Notes: </w:t>
      </w:r>
    </w:p>
    <w:p w:rsidR="001C682A" w:rsidRDefault="00B03C38">
      <w:pPr>
        <w:numPr>
          <w:ilvl w:val="0"/>
          <w:numId w:val="9"/>
        </w:numPr>
        <w:spacing w:after="4" w:line="249" w:lineRule="auto"/>
        <w:ind w:right="818" w:hanging="293"/>
      </w:pPr>
      <w:r>
        <w:rPr>
          <w:i/>
          <w:sz w:val="20"/>
        </w:rPr>
        <w:t xml:space="preserve">The FGN provided a Guarantee for the Bond issued by FMBN to refinance mortgages provided for purchases of FGN non-essential residential houses. Out of the N32 billion Bonds issued </w:t>
      </w:r>
    </w:p>
    <w:p w:rsidR="001C682A" w:rsidRDefault="00B03C38">
      <w:pPr>
        <w:tabs>
          <w:tab w:val="center" w:pos="2062"/>
          <w:tab w:val="center" w:pos="3819"/>
          <w:tab w:val="center" w:pos="4539"/>
          <w:tab w:val="center" w:pos="5259"/>
          <w:tab w:val="center" w:pos="5979"/>
          <w:tab w:val="center" w:pos="6699"/>
          <w:tab w:val="center" w:pos="7420"/>
        </w:tabs>
        <w:spacing w:after="238" w:line="249" w:lineRule="auto"/>
        <w:ind w:left="0" w:firstLine="0"/>
        <w:jc w:val="left"/>
      </w:pPr>
      <w:r>
        <w:rPr>
          <w:rFonts w:ascii="Calibri" w:eastAsia="Calibri" w:hAnsi="Calibri" w:cs="Calibri"/>
        </w:rPr>
        <w:tab/>
      </w:r>
      <w:r>
        <w:rPr>
          <w:i/>
          <w:sz w:val="20"/>
        </w:rPr>
        <w:t xml:space="preserve">N5.238 billion is outstanding. </w:t>
      </w:r>
      <w:r>
        <w:rPr>
          <w:i/>
          <w:sz w:val="20"/>
        </w:rPr>
        <w:tab/>
        <w:t xml:space="preserve"> </w:t>
      </w:r>
      <w:r>
        <w:rPr>
          <w:i/>
          <w:sz w:val="20"/>
        </w:rPr>
        <w:tab/>
        <w:t xml:space="preserve"> </w:t>
      </w:r>
      <w:r>
        <w:rPr>
          <w:i/>
          <w:sz w:val="20"/>
        </w:rPr>
        <w:tab/>
        <w:t xml:space="preserve"> </w:t>
      </w:r>
      <w:r>
        <w:rPr>
          <w:i/>
          <w:sz w:val="20"/>
        </w:rPr>
        <w:tab/>
        <w:t xml:space="preserve"> </w:t>
      </w:r>
      <w:r>
        <w:rPr>
          <w:i/>
          <w:sz w:val="20"/>
        </w:rPr>
        <w:tab/>
        <w:t xml:space="preserve"> </w:t>
      </w:r>
      <w:r>
        <w:rPr>
          <w:i/>
          <w:sz w:val="20"/>
        </w:rPr>
        <w:tab/>
        <w:t xml:space="preserve"> </w:t>
      </w:r>
    </w:p>
    <w:p w:rsidR="001C682A" w:rsidRDefault="00B03C38">
      <w:pPr>
        <w:numPr>
          <w:ilvl w:val="0"/>
          <w:numId w:val="9"/>
        </w:numPr>
        <w:spacing w:after="4" w:line="249" w:lineRule="auto"/>
        <w:ind w:right="818" w:hanging="293"/>
      </w:pPr>
      <w:r>
        <w:rPr>
          <w:i/>
          <w:sz w:val="20"/>
        </w:rPr>
        <w:t xml:space="preserve">The Guarantee was issued on behalf of Federal Capital Development Authority (FCDA) in the sum of N61.2 billion in respect of a bank facility for Deans hanger Projects Limited for provision of infrastructure in </w:t>
      </w:r>
      <w:proofErr w:type="spellStart"/>
      <w:r>
        <w:rPr>
          <w:i/>
          <w:sz w:val="20"/>
        </w:rPr>
        <w:t>Katampe</w:t>
      </w:r>
      <w:proofErr w:type="spellEnd"/>
      <w:r>
        <w:rPr>
          <w:i/>
          <w:sz w:val="20"/>
        </w:rPr>
        <w:t xml:space="preserve"> District, Abuja. The current outstanding amount confirmed by FCDA </w:t>
      </w:r>
    </w:p>
    <w:p w:rsidR="001C682A" w:rsidRDefault="00B03C38">
      <w:pPr>
        <w:tabs>
          <w:tab w:val="center" w:pos="1735"/>
          <w:tab w:val="center" w:pos="3099"/>
          <w:tab w:val="center" w:pos="3819"/>
          <w:tab w:val="center" w:pos="4539"/>
          <w:tab w:val="center" w:pos="5259"/>
          <w:tab w:val="center" w:pos="5979"/>
          <w:tab w:val="center" w:pos="6699"/>
        </w:tabs>
        <w:spacing w:after="4" w:line="249" w:lineRule="auto"/>
        <w:ind w:left="0" w:firstLine="0"/>
        <w:jc w:val="left"/>
      </w:pPr>
      <w:r>
        <w:rPr>
          <w:rFonts w:ascii="Calibri" w:eastAsia="Calibri" w:hAnsi="Calibri" w:cs="Calibri"/>
        </w:rPr>
        <w:tab/>
      </w:r>
      <w:r>
        <w:rPr>
          <w:i/>
          <w:sz w:val="20"/>
        </w:rPr>
        <w:t xml:space="preserve">is N7,440,504.380.68 </w:t>
      </w:r>
      <w:r>
        <w:rPr>
          <w:i/>
          <w:sz w:val="20"/>
        </w:rPr>
        <w:tab/>
        <w:t xml:space="preserve"> </w:t>
      </w:r>
      <w:r>
        <w:rPr>
          <w:i/>
          <w:sz w:val="20"/>
        </w:rPr>
        <w:tab/>
        <w:t xml:space="preserve"> </w:t>
      </w:r>
      <w:r>
        <w:rPr>
          <w:i/>
          <w:sz w:val="20"/>
        </w:rPr>
        <w:tab/>
        <w:t xml:space="preserve"> </w:t>
      </w:r>
      <w:r>
        <w:rPr>
          <w:i/>
          <w:sz w:val="20"/>
        </w:rPr>
        <w:tab/>
        <w:t xml:space="preserve"> </w:t>
      </w:r>
      <w:r>
        <w:rPr>
          <w:i/>
          <w:sz w:val="20"/>
        </w:rPr>
        <w:tab/>
        <w:t xml:space="preserve"> </w:t>
      </w:r>
      <w:r>
        <w:rPr>
          <w:i/>
          <w:sz w:val="20"/>
        </w:rPr>
        <w:tab/>
        <w:t xml:space="preserve"> </w:t>
      </w:r>
    </w:p>
    <w:p w:rsidR="001C682A" w:rsidRDefault="00B03C38">
      <w:pPr>
        <w:numPr>
          <w:ilvl w:val="0"/>
          <w:numId w:val="9"/>
        </w:numPr>
        <w:spacing w:after="4" w:line="249" w:lineRule="auto"/>
        <w:ind w:right="818" w:hanging="293"/>
      </w:pPr>
      <w:r>
        <w:rPr>
          <w:i/>
          <w:sz w:val="20"/>
        </w:rPr>
        <w:t xml:space="preserve">NPA LEKKI PORT-Amount guaranteed is USD800 Million (N288 billion at N360/$) Liability will commence upon the attainment of Financial Close. This is expected in 2020.  </w:t>
      </w:r>
    </w:p>
    <w:p w:rsidR="001C682A" w:rsidRDefault="00B03C38">
      <w:pPr>
        <w:spacing w:after="0" w:line="259" w:lineRule="auto"/>
        <w:ind w:left="785" w:firstLine="0"/>
        <w:jc w:val="left"/>
      </w:pPr>
      <w:r>
        <w:rPr>
          <w:i/>
          <w:sz w:val="20"/>
        </w:rPr>
        <w:t xml:space="preserve">  </w:t>
      </w:r>
      <w:r>
        <w:rPr>
          <w:i/>
          <w:sz w:val="20"/>
        </w:rPr>
        <w:tab/>
        <w:t xml:space="preserve"> </w:t>
      </w:r>
      <w:r>
        <w:rPr>
          <w:i/>
          <w:sz w:val="20"/>
        </w:rPr>
        <w:tab/>
        <w:t xml:space="preserve"> </w:t>
      </w:r>
      <w:r>
        <w:rPr>
          <w:i/>
          <w:sz w:val="20"/>
        </w:rPr>
        <w:tab/>
        <w:t xml:space="preserve"> </w:t>
      </w:r>
    </w:p>
    <w:p w:rsidR="001C682A" w:rsidRDefault="00B03C38">
      <w:pPr>
        <w:numPr>
          <w:ilvl w:val="0"/>
          <w:numId w:val="9"/>
        </w:numPr>
        <w:spacing w:after="234" w:line="249" w:lineRule="auto"/>
        <w:ind w:right="818" w:hanging="293"/>
      </w:pPr>
      <w:r>
        <w:rPr>
          <w:i/>
          <w:sz w:val="20"/>
        </w:rPr>
        <w:t xml:space="preserve">FGN Guarantee to NEXIM for $50 million Master line of credit from African Development Bank (AfDB) to finance part of the cost of the Export Oriented Small and Medium Enterprises financing programme of NEXIM. The facility will be fully repaid in 2021.   </w:t>
      </w:r>
    </w:p>
    <w:p w:rsidR="001C682A" w:rsidRDefault="00B03C38">
      <w:pPr>
        <w:numPr>
          <w:ilvl w:val="0"/>
          <w:numId w:val="9"/>
        </w:numPr>
        <w:spacing w:after="4" w:line="249" w:lineRule="auto"/>
        <w:ind w:right="818" w:hanging="293"/>
      </w:pPr>
      <w:r>
        <w:rPr>
          <w:i/>
          <w:sz w:val="20"/>
        </w:rPr>
        <w:t xml:space="preserve">The Guarantee is to enable NMRC raise long term funds from the Capital Market by issuing Bonds for the purpose of refinancing mortgages created by Eligible Mortgage Lenders. N19 billion (N8 billion-Series 1 Bond and N11 billion Series 2 Bond) has been utilised out of total </w:t>
      </w:r>
    </w:p>
    <w:p w:rsidR="001C682A" w:rsidRDefault="00B03C38">
      <w:pPr>
        <w:tabs>
          <w:tab w:val="center" w:pos="2857"/>
          <w:tab w:val="center" w:pos="5259"/>
          <w:tab w:val="center" w:pos="5979"/>
          <w:tab w:val="center" w:pos="6699"/>
          <w:tab w:val="center" w:pos="7420"/>
          <w:tab w:val="center" w:pos="8140"/>
          <w:tab w:val="center" w:pos="8860"/>
        </w:tabs>
        <w:spacing w:after="238" w:line="249" w:lineRule="auto"/>
        <w:ind w:left="0" w:firstLine="0"/>
        <w:jc w:val="left"/>
      </w:pPr>
      <w:r>
        <w:rPr>
          <w:rFonts w:ascii="Calibri" w:eastAsia="Calibri" w:hAnsi="Calibri" w:cs="Calibri"/>
        </w:rPr>
        <w:tab/>
      </w:r>
      <w:r>
        <w:rPr>
          <w:i/>
          <w:sz w:val="20"/>
        </w:rPr>
        <w:t xml:space="preserve">Guarantee available in the sum of N440 billion.  </w:t>
      </w:r>
      <w:r>
        <w:rPr>
          <w:i/>
          <w:sz w:val="20"/>
        </w:rPr>
        <w:tab/>
        <w:t xml:space="preserve"> </w:t>
      </w:r>
      <w:r>
        <w:rPr>
          <w:i/>
          <w:sz w:val="20"/>
        </w:rPr>
        <w:tab/>
        <w:t xml:space="preserve"> </w:t>
      </w:r>
      <w:r>
        <w:rPr>
          <w:i/>
          <w:sz w:val="20"/>
        </w:rPr>
        <w:tab/>
        <w:t xml:space="preserve"> </w:t>
      </w:r>
      <w:r>
        <w:rPr>
          <w:i/>
          <w:sz w:val="20"/>
        </w:rPr>
        <w:tab/>
        <w:t xml:space="preserve"> </w:t>
      </w:r>
      <w:r>
        <w:rPr>
          <w:i/>
          <w:sz w:val="20"/>
        </w:rPr>
        <w:tab/>
        <w:t xml:space="preserve"> </w:t>
      </w:r>
      <w:r>
        <w:rPr>
          <w:i/>
          <w:sz w:val="20"/>
        </w:rPr>
        <w:tab/>
        <w:t xml:space="preserve"> </w:t>
      </w:r>
    </w:p>
    <w:p w:rsidR="001C682A" w:rsidRDefault="00B03C38">
      <w:pPr>
        <w:numPr>
          <w:ilvl w:val="0"/>
          <w:numId w:val="9"/>
        </w:numPr>
        <w:spacing w:after="4" w:line="249" w:lineRule="auto"/>
        <w:ind w:right="818" w:hanging="293"/>
      </w:pPr>
      <w:r>
        <w:rPr>
          <w:i/>
          <w:sz w:val="20"/>
        </w:rPr>
        <w:t xml:space="preserve">FGN Guarantee to Central Bank of Nigeria for providing NBET a Payment Assurance Facility, for its obligations to </w:t>
      </w:r>
      <w:proofErr w:type="spellStart"/>
      <w:r>
        <w:rPr>
          <w:i/>
          <w:sz w:val="20"/>
        </w:rPr>
        <w:t>Gencos</w:t>
      </w:r>
      <w:proofErr w:type="spellEnd"/>
      <w:r>
        <w:rPr>
          <w:i/>
          <w:sz w:val="20"/>
        </w:rPr>
        <w:t xml:space="preserve"> in the sum of N1.301 trillion.       </w:t>
      </w:r>
    </w:p>
    <w:p w:rsidR="001C682A" w:rsidRDefault="00B03C38">
      <w:pPr>
        <w:numPr>
          <w:ilvl w:val="0"/>
          <w:numId w:val="9"/>
        </w:numPr>
        <w:spacing w:after="4" w:line="249" w:lineRule="auto"/>
        <w:ind w:right="818" w:hanging="293"/>
      </w:pPr>
      <w:r>
        <w:rPr>
          <w:i/>
          <w:sz w:val="20"/>
        </w:rPr>
        <w:lastRenderedPageBreak/>
        <w:t xml:space="preserve">Figures are based on NBET's submissions on Put-Call option Agreements (PCOA) with </w:t>
      </w:r>
      <w:proofErr w:type="spellStart"/>
      <w:r>
        <w:rPr>
          <w:i/>
          <w:sz w:val="20"/>
        </w:rPr>
        <w:t>Gencos</w:t>
      </w:r>
      <w:proofErr w:type="spellEnd"/>
      <w:r>
        <w:rPr>
          <w:i/>
          <w:sz w:val="20"/>
        </w:rPr>
        <w:t>.</w:t>
      </w:r>
    </w:p>
    <w:p w:rsidR="001C682A" w:rsidRDefault="00B03C38">
      <w:pPr>
        <w:spacing w:after="0" w:line="259" w:lineRule="auto"/>
        <w:ind w:left="785" w:firstLine="0"/>
        <w:jc w:val="left"/>
      </w:pPr>
      <w:r>
        <w:rPr>
          <w:i/>
          <w:sz w:val="20"/>
        </w:rPr>
        <w:t xml:space="preserve">  </w:t>
      </w:r>
      <w:r>
        <w:rPr>
          <w:i/>
          <w:sz w:val="20"/>
        </w:rPr>
        <w:tab/>
        <w:t xml:space="preserve"> </w:t>
      </w:r>
      <w:r>
        <w:rPr>
          <w:i/>
          <w:sz w:val="20"/>
        </w:rPr>
        <w:tab/>
        <w:t xml:space="preserve"> </w:t>
      </w:r>
      <w:r>
        <w:rPr>
          <w:i/>
          <w:sz w:val="20"/>
        </w:rPr>
        <w:tab/>
        <w:t xml:space="preserve"> </w:t>
      </w:r>
      <w:r>
        <w:rPr>
          <w:i/>
          <w:sz w:val="20"/>
        </w:rPr>
        <w:tab/>
        <w:t xml:space="preserve"> </w:t>
      </w:r>
      <w:r>
        <w:rPr>
          <w:i/>
          <w:sz w:val="20"/>
        </w:rPr>
        <w:tab/>
        <w:t xml:space="preserve"> </w:t>
      </w:r>
    </w:p>
    <w:p w:rsidR="001C682A" w:rsidRDefault="00B03C38">
      <w:pPr>
        <w:numPr>
          <w:ilvl w:val="0"/>
          <w:numId w:val="9"/>
        </w:numPr>
        <w:spacing w:after="4" w:line="249" w:lineRule="auto"/>
        <w:ind w:right="818" w:hanging="293"/>
      </w:pPr>
      <w:r>
        <w:rPr>
          <w:i/>
          <w:sz w:val="20"/>
        </w:rPr>
        <w:t xml:space="preserve">Figures are based on NBET's submissions on Partial Risk Guarantees (PRG) issued to </w:t>
      </w:r>
      <w:proofErr w:type="spellStart"/>
      <w:r>
        <w:rPr>
          <w:i/>
          <w:sz w:val="20"/>
        </w:rPr>
        <w:t>Gencos</w:t>
      </w:r>
      <w:proofErr w:type="spellEnd"/>
      <w:r>
        <w:rPr>
          <w:i/>
          <w:sz w:val="20"/>
        </w:rPr>
        <w:t>.</w:t>
      </w:r>
    </w:p>
    <w:p w:rsidR="001C682A" w:rsidRDefault="00B03C38">
      <w:pPr>
        <w:spacing w:after="0" w:line="259" w:lineRule="auto"/>
        <w:ind w:left="785" w:firstLine="0"/>
        <w:jc w:val="left"/>
      </w:pPr>
      <w:r>
        <w:rPr>
          <w:i/>
          <w:sz w:val="20"/>
        </w:rPr>
        <w:t xml:space="preserve">  </w:t>
      </w:r>
      <w:r>
        <w:rPr>
          <w:i/>
          <w:sz w:val="20"/>
        </w:rPr>
        <w:tab/>
        <w:t xml:space="preserve"> </w:t>
      </w:r>
      <w:r>
        <w:rPr>
          <w:i/>
          <w:sz w:val="20"/>
        </w:rPr>
        <w:tab/>
        <w:t xml:space="preserve"> </w:t>
      </w:r>
      <w:r>
        <w:rPr>
          <w:i/>
          <w:sz w:val="20"/>
        </w:rPr>
        <w:tab/>
        <w:t xml:space="preserve"> </w:t>
      </w:r>
      <w:r>
        <w:rPr>
          <w:i/>
          <w:sz w:val="20"/>
        </w:rPr>
        <w:tab/>
        <w:t xml:space="preserve"> </w:t>
      </w:r>
      <w:r>
        <w:rPr>
          <w:i/>
          <w:sz w:val="20"/>
        </w:rPr>
        <w:tab/>
        <w:t xml:space="preserve"> </w:t>
      </w:r>
    </w:p>
    <w:p w:rsidR="001C682A" w:rsidRDefault="00B03C38">
      <w:pPr>
        <w:numPr>
          <w:ilvl w:val="0"/>
          <w:numId w:val="9"/>
        </w:numPr>
        <w:spacing w:after="234" w:line="249" w:lineRule="auto"/>
        <w:ind w:right="818" w:hanging="293"/>
      </w:pPr>
      <w:r>
        <w:rPr>
          <w:i/>
          <w:sz w:val="20"/>
        </w:rPr>
        <w:t xml:space="preserve">Figures provided by BPE on FGN's exposure in respect of the debt component of the purchase price of the PHCN successor companies.       </w:t>
      </w:r>
    </w:p>
    <w:p w:rsidR="001C682A" w:rsidRDefault="00B03C38">
      <w:pPr>
        <w:numPr>
          <w:ilvl w:val="0"/>
          <w:numId w:val="9"/>
        </w:numPr>
        <w:spacing w:after="4" w:line="249" w:lineRule="auto"/>
        <w:ind w:right="818" w:hanging="293"/>
      </w:pPr>
      <w:r>
        <w:rPr>
          <w:i/>
          <w:sz w:val="20"/>
        </w:rPr>
        <w:t xml:space="preserve">FGN Guarantee for the </w:t>
      </w:r>
      <w:proofErr w:type="spellStart"/>
      <w:r>
        <w:rPr>
          <w:i/>
          <w:sz w:val="20"/>
        </w:rPr>
        <w:t>Ajaokuta</w:t>
      </w:r>
      <w:proofErr w:type="spellEnd"/>
      <w:r>
        <w:rPr>
          <w:i/>
          <w:sz w:val="20"/>
        </w:rPr>
        <w:t xml:space="preserve">-Kaduna-Kano (AKK) Gas Pipeline Project undertaken by the Nigeria National Petroleum Corporation (NNPC). The Guarantee covers 85% </w:t>
      </w:r>
    </w:p>
    <w:p w:rsidR="001C682A" w:rsidRDefault="00B03C38">
      <w:pPr>
        <w:tabs>
          <w:tab w:val="center" w:pos="4242"/>
          <w:tab w:val="center" w:pos="8140"/>
        </w:tabs>
        <w:spacing w:after="4" w:line="249" w:lineRule="auto"/>
        <w:ind w:left="0" w:firstLine="0"/>
        <w:jc w:val="left"/>
      </w:pPr>
      <w:r>
        <w:rPr>
          <w:rFonts w:ascii="Calibri" w:eastAsia="Calibri" w:hAnsi="Calibri" w:cs="Calibri"/>
        </w:rPr>
        <w:tab/>
      </w:r>
      <w:r>
        <w:rPr>
          <w:i/>
          <w:sz w:val="20"/>
        </w:rPr>
        <w:t xml:space="preserve">(US$2,456,944,166.11) of the total cost (US$2,890,522,548.36) of the Project. </w:t>
      </w:r>
      <w:r>
        <w:rPr>
          <w:i/>
          <w:sz w:val="20"/>
        </w:rPr>
        <w:tab/>
        <w:t xml:space="preserve"> </w:t>
      </w:r>
    </w:p>
    <w:p w:rsidR="001C682A" w:rsidRDefault="00B03C38">
      <w:pPr>
        <w:spacing w:after="0" w:line="259" w:lineRule="auto"/>
        <w:ind w:left="785" w:firstLine="0"/>
        <w:jc w:val="left"/>
      </w:pPr>
      <w:r>
        <w:rPr>
          <w:i/>
          <w:sz w:val="20"/>
        </w:rPr>
        <w:t xml:space="preserve">  </w:t>
      </w:r>
      <w:r>
        <w:rPr>
          <w:i/>
          <w:sz w:val="20"/>
        </w:rPr>
        <w:tab/>
        <w:t xml:space="preserve"> </w:t>
      </w:r>
      <w:r>
        <w:rPr>
          <w:i/>
          <w:sz w:val="20"/>
        </w:rPr>
        <w:tab/>
        <w:t xml:space="preserve"> </w:t>
      </w:r>
      <w:r>
        <w:rPr>
          <w:i/>
          <w:sz w:val="20"/>
        </w:rPr>
        <w:tab/>
        <w:t xml:space="preserve"> </w:t>
      </w:r>
    </w:p>
    <w:p w:rsidR="001C682A" w:rsidRDefault="00B03C38">
      <w:pPr>
        <w:numPr>
          <w:ilvl w:val="0"/>
          <w:numId w:val="9"/>
        </w:numPr>
        <w:spacing w:after="234" w:line="249" w:lineRule="auto"/>
        <w:ind w:right="818" w:hanging="293"/>
      </w:pPr>
      <w:r>
        <w:rPr>
          <w:i/>
          <w:sz w:val="20"/>
        </w:rPr>
        <w:t xml:space="preserve">Pension arrears for MDAs Data provided by PENCOM to DMO. Outstanding Retirement Benefits Liability of the FGN for certain categories of its employees. Amount has been projected to reduce by 5% annually.       </w:t>
      </w:r>
    </w:p>
    <w:p w:rsidR="001C682A" w:rsidRDefault="00B03C38">
      <w:pPr>
        <w:numPr>
          <w:ilvl w:val="0"/>
          <w:numId w:val="9"/>
        </w:numPr>
        <w:spacing w:after="27" w:line="249" w:lineRule="auto"/>
        <w:ind w:right="818" w:hanging="293"/>
      </w:pPr>
      <w:r>
        <w:rPr>
          <w:i/>
          <w:sz w:val="20"/>
        </w:rPr>
        <w:t xml:space="preserve">Others: As part of efforts to further develop infrastructure, there will be a growing use of </w:t>
      </w:r>
      <w:proofErr w:type="spellStart"/>
      <w:r>
        <w:rPr>
          <w:i/>
          <w:sz w:val="20"/>
        </w:rPr>
        <w:t>offbalance</w:t>
      </w:r>
      <w:proofErr w:type="spellEnd"/>
      <w:r>
        <w:rPr>
          <w:i/>
          <w:sz w:val="20"/>
        </w:rPr>
        <w:t xml:space="preserve"> sheet products such as Guarantees, Letters of Comforts and like instruments, by the Government, as from 2020. Thus, it is expected that Contingent Liabilities will increase, as more off-balance sheet products are used to support infrastructural development.</w:t>
      </w:r>
      <w:r>
        <w:rPr>
          <w:i/>
          <w:sz w:val="20"/>
          <w:vertAlign w:val="subscript"/>
        </w:rPr>
        <w:t xml:space="preserve">   </w:t>
      </w:r>
    </w:p>
    <w:p w:rsidR="001C682A" w:rsidRDefault="00B03C38">
      <w:pPr>
        <w:spacing w:after="446" w:line="259" w:lineRule="auto"/>
        <w:ind w:left="218" w:firstLine="0"/>
        <w:jc w:val="left"/>
      </w:pPr>
      <w:r>
        <w:rPr>
          <w:rFonts w:ascii="Franklin Gothic Book" w:eastAsia="Franklin Gothic Book" w:hAnsi="Franklin Gothic Book" w:cs="Franklin Gothic Book"/>
          <w:sz w:val="24"/>
        </w:rPr>
        <w:t xml:space="preserve"> </w:t>
      </w:r>
    </w:p>
    <w:p w:rsidR="001C682A" w:rsidRDefault="00B03C38">
      <w:pPr>
        <w:pStyle w:val="Heading2"/>
        <w:tabs>
          <w:tab w:val="center" w:pos="418"/>
          <w:tab w:val="center" w:pos="3296"/>
        </w:tabs>
        <w:ind w:left="0" w:firstLine="0"/>
      </w:pPr>
      <w:bookmarkStart w:id="91" w:name="_Toc389437"/>
      <w:r>
        <w:rPr>
          <w:rFonts w:ascii="Calibri" w:eastAsia="Calibri" w:hAnsi="Calibri" w:cs="Calibri"/>
          <w:sz w:val="22"/>
        </w:rPr>
        <w:tab/>
      </w:r>
      <w:r>
        <w:t xml:space="preserve">9.0 </w:t>
      </w:r>
      <w:r>
        <w:tab/>
        <w:t xml:space="preserve">RISKS TO THE MEDIUM-TERM OUTLOOK </w:t>
      </w:r>
      <w:bookmarkEnd w:id="91"/>
    </w:p>
    <w:p w:rsidR="001C682A" w:rsidRDefault="00B03C38">
      <w:pPr>
        <w:spacing w:after="249" w:line="259" w:lineRule="auto"/>
        <w:ind w:left="190" w:firstLine="0"/>
        <w:jc w:val="left"/>
      </w:pPr>
      <w:r>
        <w:rPr>
          <w:rFonts w:ascii="Calibri" w:eastAsia="Calibri" w:hAnsi="Calibri" w:cs="Calibri"/>
          <w:noProof/>
        </w:rPr>
        <mc:AlternateContent>
          <mc:Choice Requires="wpg">
            <w:drawing>
              <wp:inline distT="0" distB="0" distL="0" distR="0">
                <wp:extent cx="5764658" cy="18287"/>
                <wp:effectExtent l="0" t="0" r="0" b="0"/>
                <wp:docPr id="333554" name="Group 333554"/>
                <wp:cNvGraphicFramePr/>
                <a:graphic xmlns:a="http://schemas.openxmlformats.org/drawingml/2006/main">
                  <a:graphicData uri="http://schemas.microsoft.com/office/word/2010/wordprocessingGroup">
                    <wpg:wgp>
                      <wpg:cNvGrpSpPr/>
                      <wpg:grpSpPr>
                        <a:xfrm>
                          <a:off x="0" y="0"/>
                          <a:ext cx="5764658" cy="18287"/>
                          <a:chOff x="0" y="0"/>
                          <a:chExt cx="5764658" cy="18287"/>
                        </a:xfrm>
                      </wpg:grpSpPr>
                      <wps:wsp>
                        <wps:cNvPr id="395827" name="Shape 395827"/>
                        <wps:cNvSpPr/>
                        <wps:spPr>
                          <a:xfrm>
                            <a:off x="0" y="0"/>
                            <a:ext cx="5764658" cy="18287"/>
                          </a:xfrm>
                          <a:custGeom>
                            <a:avLst/>
                            <a:gdLst/>
                            <a:ahLst/>
                            <a:cxnLst/>
                            <a:rect l="0" t="0" r="0" b="0"/>
                            <a:pathLst>
                              <a:path w="5764658" h="18287">
                                <a:moveTo>
                                  <a:pt x="0" y="0"/>
                                </a:moveTo>
                                <a:lnTo>
                                  <a:pt x="5764658" y="0"/>
                                </a:lnTo>
                                <a:lnTo>
                                  <a:pt x="5764658" y="18287"/>
                                </a:lnTo>
                                <a:lnTo>
                                  <a:pt x="0" y="18287"/>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33554" style="width:453.91pt;height:1.43994pt;mso-position-horizontal-relative:char;mso-position-vertical-relative:line" coordsize="57646,182">
                <v:shape id="Shape 395828" style="position:absolute;width:57646;height:182;left:0;top:0;" coordsize="5764658,18287" path="m0,0l5764658,0l5764658,18287l0,18287l0,0">
                  <v:stroke weight="0pt" endcap="flat" joinstyle="miter" miterlimit="10" on="false" color="#000000" opacity="0"/>
                  <v:fill on="true" color="#000080"/>
                </v:shape>
              </v:group>
            </w:pict>
          </mc:Fallback>
        </mc:AlternateContent>
      </w:r>
    </w:p>
    <w:p w:rsidR="001C682A" w:rsidRDefault="00B03C38">
      <w:pPr>
        <w:spacing w:after="191" w:line="273" w:lineRule="auto"/>
        <w:ind w:left="213" w:right="606"/>
        <w:jc w:val="left"/>
      </w:pPr>
      <w:r>
        <w:t xml:space="preserve">The global COVID-19 pandemic exposed vulnerabilities in public finances around the world, and sparked debt crises among seemingly solvent governments. Much of the increase in public debt stemmed from:  </w:t>
      </w:r>
    </w:p>
    <w:p w:rsidR="001C682A" w:rsidRDefault="00B03C38">
      <w:pPr>
        <w:numPr>
          <w:ilvl w:val="0"/>
          <w:numId w:val="10"/>
        </w:numPr>
        <w:spacing w:after="185"/>
        <w:ind w:right="816" w:hanging="360"/>
      </w:pPr>
      <w:r>
        <w:t xml:space="preserve">National governments’ unwillingness to cut expenditures in the middle of a pandemic, with imminent recession; </w:t>
      </w:r>
    </w:p>
    <w:p w:rsidR="001C682A" w:rsidRDefault="00B03C38">
      <w:pPr>
        <w:numPr>
          <w:ilvl w:val="0"/>
          <w:numId w:val="10"/>
        </w:numPr>
        <w:spacing w:after="176"/>
        <w:ind w:right="816" w:hanging="360"/>
      </w:pPr>
      <w:r>
        <w:t xml:space="preserve">Private-sector / financial institutions unanticipated bailout requests; and  </w:t>
      </w:r>
    </w:p>
    <w:p w:rsidR="001C682A" w:rsidRDefault="00B03C38">
      <w:pPr>
        <w:numPr>
          <w:ilvl w:val="0"/>
          <w:numId w:val="10"/>
        </w:numPr>
        <w:spacing w:after="188"/>
        <w:ind w:right="816" w:hanging="360"/>
      </w:pPr>
      <w:r>
        <w:t xml:space="preserve">Large issuances of foreign-denominated debt that grew rapidly as local currencies depreciated. </w:t>
      </w:r>
    </w:p>
    <w:p w:rsidR="001C682A" w:rsidRDefault="00B03C38">
      <w:pPr>
        <w:spacing w:after="457"/>
        <w:ind w:left="236" w:right="816"/>
      </w:pPr>
      <w:r>
        <w:t xml:space="preserve">The outbreak of the COVID-19 pandemic led to the revision of the FGN’s 2020-2022 MTEF/FSP. The effect of this pandemic on the global economy remains to be fully quantified as this, with its resultant remnant effects, will be central to fiscal risks over the short to medium term. The Federal Government has responded and is adapting fiscal policies to contain the damage from COVID-19. In addition, we will review below a number of recurring risks, both within the domestic environment and the global economy, or shocks that may pose setbacks to FGN’s revenues, planned expenditures, and constrain economic growth or slow the pace of achieving some of the development objectives of the FGN. These are likely to have some effects on the medium-term economic forecasts. Consequently, in drafting the 2021-2023 fiscal strategy paper, we have identified and highlighted some of these risks. These will be reviewed, their likelihood assessed, and mitigating strategies proposed. </w:t>
      </w:r>
    </w:p>
    <w:p w:rsidR="001C682A" w:rsidRDefault="00B03C38">
      <w:pPr>
        <w:pStyle w:val="Heading3"/>
        <w:tabs>
          <w:tab w:val="center" w:pos="413"/>
          <w:tab w:val="center" w:pos="4222"/>
        </w:tabs>
        <w:ind w:left="0" w:firstLine="0"/>
      </w:pPr>
      <w:bookmarkStart w:id="92" w:name="_Toc389438"/>
      <w:r>
        <w:rPr>
          <w:rFonts w:ascii="Calibri" w:eastAsia="Calibri" w:hAnsi="Calibri" w:cs="Calibri"/>
          <w:color w:val="000000"/>
          <w:sz w:val="22"/>
        </w:rPr>
        <w:tab/>
      </w:r>
      <w:r>
        <w:t xml:space="preserve">9.1 </w:t>
      </w:r>
      <w:r>
        <w:tab/>
        <w:t xml:space="preserve">Global Economic Trends &amp; Geo-Political Tensions </w:t>
      </w:r>
      <w:bookmarkEnd w:id="92"/>
    </w:p>
    <w:p w:rsidR="001C682A" w:rsidRDefault="00B03C38">
      <w:pPr>
        <w:spacing w:after="187"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33095" name="Group 333095"/>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829" name="Shape 395829"/>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33095" style="width:453.91pt;height:0.47998pt;mso-position-horizontal-relative:char;mso-position-vertical-relative:line" coordsize="57646,60">
                <v:shape id="Shape 395830"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spacing w:after="173"/>
        <w:ind w:left="236" w:right="816"/>
      </w:pPr>
      <w:r>
        <w:lastRenderedPageBreak/>
        <w:t xml:space="preserve">The uncertainty around the ultimate outcome of the global health crisis has not been fully ascertained. A number of analysis and revised forecasts show that it has triggered the greatest global recession since the Great Depression of 1930, resulting in enormous damage to people’s well-being, jobs and health. Economies are expected to contract as a result of slowdown in economic activities which in turn will do damage to labour productivity as well as potential output.   This is largely due to the possibility of a second wave of infections, without any clinically approved vaccine in the horizon, resulting in renewed lockdowns before the end of 2020. </w:t>
      </w:r>
    </w:p>
    <w:p w:rsidR="001C682A" w:rsidRDefault="00B03C38">
      <w:pPr>
        <w:spacing w:after="152"/>
        <w:ind w:left="236" w:right="816"/>
      </w:pPr>
      <w:r>
        <w:t xml:space="preserve">Political developments in the United States will test the US institutions to its limits. The November election will be critical to global medium-term outlook. Some consider this the US’ equivalent of Brexit as the outcome may portend political uncertainty in one of the world’s oldest democracies.  </w:t>
      </w:r>
    </w:p>
    <w:p w:rsidR="001C682A" w:rsidRDefault="00B03C38">
      <w:pPr>
        <w:spacing w:after="173"/>
        <w:ind w:left="236" w:right="816"/>
      </w:pPr>
      <w:r>
        <w:t xml:space="preserve">There will be implications for crude oil pricing on account of this geopolitical risk. The markets can expect prices to rally if there is any other trigger between the US and Iran, which could disrupt Middle East output and drive oil prices higher. Following the seizure of a British flagged oil tanker in the Strait of Hormuz last year, the UK also retaliated with a counter seizure of an Iranian vessel. With tensions reaching heightened levels, the UK has joined a US-led mission to protect ships traveling through the Strait of Hormuz from Iranian threat.  </w:t>
      </w:r>
    </w:p>
    <w:p w:rsidR="001C682A" w:rsidRDefault="00B03C38">
      <w:pPr>
        <w:spacing w:after="448"/>
        <w:ind w:left="236" w:right="816"/>
      </w:pPr>
      <w:r>
        <w:t xml:space="preserve">However, the US-China tensions have taken a new dimension post COVID-19, and it is expected to rise ahead of the US Presidential election in November, 2020. Both sides will continue to use economic tools such as sanctions, boycotts, and import/export control in this struggle. Even as trade conflicts persist, China is determined to expand its global footprint over the medium term as it leverages the Belt and Road initiative (BRI). </w:t>
      </w:r>
    </w:p>
    <w:p w:rsidR="001C682A" w:rsidRDefault="00B03C38">
      <w:pPr>
        <w:pStyle w:val="Heading3"/>
        <w:tabs>
          <w:tab w:val="center" w:pos="413"/>
          <w:tab w:val="center" w:pos="3539"/>
        </w:tabs>
        <w:ind w:left="0" w:firstLine="0"/>
      </w:pPr>
      <w:bookmarkStart w:id="93" w:name="_Toc389439"/>
      <w:r>
        <w:rPr>
          <w:rFonts w:ascii="Calibri" w:eastAsia="Calibri" w:hAnsi="Calibri" w:cs="Calibri"/>
          <w:color w:val="000000"/>
          <w:sz w:val="22"/>
        </w:rPr>
        <w:tab/>
      </w:r>
      <w:r>
        <w:t xml:space="preserve">9.2 </w:t>
      </w:r>
      <w:r>
        <w:tab/>
        <w:t xml:space="preserve">International Oil Market Developments </w:t>
      </w:r>
      <w:bookmarkEnd w:id="93"/>
    </w:p>
    <w:p w:rsidR="001C682A" w:rsidRDefault="00B03C38">
      <w:pPr>
        <w:spacing w:after="228"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33096" name="Group 333096"/>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831" name="Shape 395831"/>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33096" style="width:453.91pt;height:0.47998pt;mso-position-horizontal-relative:char;mso-position-vertical-relative:line" coordsize="57646,60">
                <v:shape id="Shape 395832"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pStyle w:val="Heading4"/>
        <w:tabs>
          <w:tab w:val="center" w:pos="460"/>
          <w:tab w:val="center" w:pos="1383"/>
        </w:tabs>
        <w:spacing w:after="138" w:line="259" w:lineRule="auto"/>
        <w:ind w:left="0" w:firstLine="0"/>
      </w:pPr>
      <w:bookmarkStart w:id="94" w:name="_Toc389440"/>
      <w:r>
        <w:rPr>
          <w:rFonts w:ascii="Calibri" w:eastAsia="Calibri" w:hAnsi="Calibri" w:cs="Calibri"/>
          <w:color w:val="000000"/>
          <w:sz w:val="22"/>
        </w:rPr>
        <w:tab/>
      </w:r>
      <w:r>
        <w:rPr>
          <w:rFonts w:ascii="Calibri" w:eastAsia="Calibri" w:hAnsi="Calibri" w:cs="Calibri"/>
          <w:color w:val="1F3763"/>
          <w:sz w:val="24"/>
        </w:rPr>
        <w:t xml:space="preserve">9.2.1 </w:t>
      </w:r>
      <w:r>
        <w:rPr>
          <w:rFonts w:ascii="Calibri" w:eastAsia="Calibri" w:hAnsi="Calibri" w:cs="Calibri"/>
          <w:color w:val="1F3763"/>
          <w:sz w:val="24"/>
        </w:rPr>
        <w:tab/>
        <w:t xml:space="preserve">Oil Prices </w:t>
      </w:r>
      <w:bookmarkEnd w:id="94"/>
    </w:p>
    <w:p w:rsidR="001C682A" w:rsidRDefault="00B03C38">
      <w:pPr>
        <w:ind w:left="236" w:right="816"/>
      </w:pPr>
      <w:r>
        <w:t>Oil Prices fell below US$10 per barrel and further slid into negative territory</w:t>
      </w:r>
      <w:r>
        <w:rPr>
          <w:vertAlign w:val="superscript"/>
        </w:rPr>
        <w:t>1</w:t>
      </w:r>
      <w:r>
        <w:t xml:space="preserve"> for the first time in history in 2020, a year described by many as the most turbulent for crude oil. Oil price Volatility has remained a major recurring risk. Oil &amp; Gas represents under 10% of Nigeria’s GDP, but accounts for about 50% of government revenues and over 80% of export earnings. Thus, its volatility could potentially distort revenue outturns and affect budget performance. Prior to COVID-19 inspired Oil Price decline, the Nigerian economy was already fragile and vulnerable, with sluggish growth, low revenue/GDP ratio, constrained fiscal space, low foreign &amp; domestic investments, declining foreign reserves, etc. As lockdowns forced manufacturing plants to shut down, and people stopped travelling, global demand for crude oil fell by about </w:t>
      </w:r>
    </w:p>
    <w:p w:rsidR="001C682A" w:rsidRDefault="00B03C38">
      <w:pPr>
        <w:spacing w:after="37"/>
        <w:ind w:left="236" w:right="816"/>
      </w:pPr>
      <w:r>
        <w:t xml:space="preserve">29 million barrels a day. Oil prices remain volatile in the near term considering the possibility </w:t>
      </w:r>
    </w:p>
    <w:p w:rsidR="001C682A" w:rsidRDefault="00B03C38">
      <w:pPr>
        <w:spacing w:after="0" w:line="270" w:lineRule="auto"/>
        <w:ind w:left="218" w:right="6835" w:firstLine="0"/>
        <w:jc w:val="left"/>
      </w:pPr>
      <w:r>
        <w:rPr>
          <w:rFonts w:ascii="Calibri" w:eastAsia="Calibri" w:hAnsi="Calibri" w:cs="Calibri"/>
          <w:noProof/>
        </w:rPr>
        <mc:AlternateContent>
          <mc:Choice Requires="wpg">
            <w:drawing>
              <wp:inline distT="0" distB="0" distL="0" distR="0">
                <wp:extent cx="1828800" cy="7620"/>
                <wp:effectExtent l="0" t="0" r="0" b="0"/>
                <wp:docPr id="333097" name="Group 333097"/>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395833" name="Shape 395833"/>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3097" style="width:144pt;height:0.599976pt;mso-position-horizontal-relative:char;mso-position-vertical-relative:line" coordsize="18288,76">
                <v:shape id="Shape 395834"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rFonts w:ascii="Franklin Gothic Book" w:eastAsia="Franklin Gothic Book" w:hAnsi="Franklin Gothic Book" w:cs="Franklin Gothic Book"/>
          <w:sz w:val="24"/>
        </w:rPr>
        <w:t xml:space="preserve"> </w:t>
      </w:r>
      <w:r>
        <w:rPr>
          <w:sz w:val="14"/>
        </w:rPr>
        <w:t>1</w:t>
      </w:r>
    </w:p>
    <w:p w:rsidR="001C682A" w:rsidRDefault="00B03C38">
      <w:pPr>
        <w:spacing w:after="122" w:line="259" w:lineRule="auto"/>
        <w:ind w:left="305"/>
        <w:jc w:val="left"/>
      </w:pPr>
      <w:r>
        <w:rPr>
          <w:rFonts w:ascii="Franklin Gothic Book" w:eastAsia="Franklin Gothic Book" w:hAnsi="Franklin Gothic Book" w:cs="Franklin Gothic Book"/>
          <w:sz w:val="20"/>
        </w:rPr>
        <w:t xml:space="preserve"> West Texas Intermediate (WTI) Crude Oil </w:t>
      </w:r>
    </w:p>
    <w:p w:rsidR="001C682A" w:rsidRDefault="00B03C38">
      <w:pPr>
        <w:spacing w:after="174"/>
        <w:ind w:left="236" w:right="816"/>
      </w:pPr>
      <w:r>
        <w:t xml:space="preserve">of a second wave of COVID-19 infections and lockdowns. </w:t>
      </w:r>
    </w:p>
    <w:p w:rsidR="001C682A" w:rsidRDefault="00B03C38">
      <w:pPr>
        <w:spacing w:after="210"/>
        <w:ind w:left="236" w:right="816"/>
      </w:pPr>
      <w:r>
        <w:t xml:space="preserve">The medium-term outlook shows prices could recover to pre-crisis levels averaging US$50 - US$60 per barrel under the best-case scenario. Government will be conservative in setting benchmark for oil price in formulating its annual budget so as to be able to build up buffers to </w:t>
      </w:r>
      <w:r>
        <w:lastRenderedPageBreak/>
        <w:t xml:space="preserve">safeguard against price and possible production shocks and will stay within the $40 per barrel benchmark price for FY 2021 as well as the outer years  </w:t>
      </w:r>
    </w:p>
    <w:p w:rsidR="001C682A" w:rsidRDefault="00B03C38">
      <w:pPr>
        <w:pStyle w:val="Heading4"/>
        <w:tabs>
          <w:tab w:val="center" w:pos="460"/>
          <w:tab w:val="center" w:pos="2224"/>
        </w:tabs>
        <w:spacing w:after="138" w:line="259" w:lineRule="auto"/>
        <w:ind w:left="0" w:firstLine="0"/>
      </w:pPr>
      <w:bookmarkStart w:id="95" w:name="_Toc389441"/>
      <w:r>
        <w:rPr>
          <w:rFonts w:ascii="Calibri" w:eastAsia="Calibri" w:hAnsi="Calibri" w:cs="Calibri"/>
          <w:color w:val="000000"/>
          <w:sz w:val="22"/>
        </w:rPr>
        <w:tab/>
      </w:r>
      <w:r>
        <w:rPr>
          <w:rFonts w:ascii="Calibri" w:eastAsia="Calibri" w:hAnsi="Calibri" w:cs="Calibri"/>
          <w:color w:val="1F3763"/>
          <w:sz w:val="24"/>
        </w:rPr>
        <w:t xml:space="preserve">9.2.2 </w:t>
      </w:r>
      <w:r>
        <w:rPr>
          <w:rFonts w:ascii="Calibri" w:eastAsia="Calibri" w:hAnsi="Calibri" w:cs="Calibri"/>
          <w:color w:val="1F3763"/>
          <w:sz w:val="24"/>
        </w:rPr>
        <w:tab/>
        <w:t xml:space="preserve">Oil Demand &amp; Supply Risks </w:t>
      </w:r>
      <w:bookmarkEnd w:id="95"/>
    </w:p>
    <w:p w:rsidR="001C682A" w:rsidRDefault="00B03C38">
      <w:pPr>
        <w:spacing w:after="173"/>
        <w:ind w:left="236" w:right="816"/>
      </w:pPr>
      <w:r>
        <w:t xml:space="preserve">The current global humanitarian crisis occasioned by the COVID-19 pandemic has contributed to an unprecedented drop in global demand for crude not envisaged at the start of the year and this affected the price of crude negatively. Organisation of Petroleum Exporting Countries (OPEC) members, as well as allied non-members like Russia and Mexico (referred to as OPEC+) finalized a production cut deal.  </w:t>
      </w:r>
    </w:p>
    <w:p w:rsidR="001C682A" w:rsidRDefault="00B03C38">
      <w:pPr>
        <w:spacing w:after="448"/>
        <w:ind w:left="236" w:right="816"/>
      </w:pPr>
      <w:r>
        <w:t xml:space="preserve">This marks the rejuvenation of the broader OPEC+ alliance, that was in uncertain territory in recent times as Saudi Arabia and Russia waged a </w:t>
      </w:r>
      <w:proofErr w:type="spellStart"/>
      <w:r>
        <w:t>grueling</w:t>
      </w:r>
      <w:proofErr w:type="spellEnd"/>
      <w:r>
        <w:t xml:space="preserve"> price war with each other. In its June 2020 report, the International Energy Agency (IEA) forecasts global oil demand to fall by 8.1mbpd in 2020, the largest fall in history. This is however expected to rebound by 5.7mbpd in 2021. On the Supply side, global supply is projected to tumble by 7.2mbpd on average in 2020 and recover slightly by 1.8mbpd by 2021 assuming that the OPEC+ cuts are fully complied with. The OPEC+ intervention has restored stability to the market and it is expected to be managed in the short to medium term.   </w:t>
      </w:r>
    </w:p>
    <w:p w:rsidR="001C682A" w:rsidRDefault="00B03C38">
      <w:pPr>
        <w:pStyle w:val="Heading3"/>
        <w:tabs>
          <w:tab w:val="center" w:pos="413"/>
          <w:tab w:val="center" w:pos="2300"/>
        </w:tabs>
        <w:ind w:left="0" w:firstLine="0"/>
      </w:pPr>
      <w:bookmarkStart w:id="96" w:name="_Toc389442"/>
      <w:r>
        <w:rPr>
          <w:rFonts w:ascii="Calibri" w:eastAsia="Calibri" w:hAnsi="Calibri" w:cs="Calibri"/>
          <w:color w:val="000000"/>
          <w:sz w:val="22"/>
        </w:rPr>
        <w:tab/>
      </w:r>
      <w:r>
        <w:t xml:space="preserve">9.3 </w:t>
      </w:r>
      <w:r>
        <w:tab/>
        <w:t xml:space="preserve">Exchange Rate Risks </w:t>
      </w:r>
      <w:bookmarkEnd w:id="96"/>
    </w:p>
    <w:p w:rsidR="001C682A" w:rsidRDefault="00B03C38">
      <w:pPr>
        <w:spacing w:after="187"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33459" name="Group 333459"/>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835" name="Shape 395835"/>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33459" style="width:453.91pt;height:0.480011pt;mso-position-horizontal-relative:char;mso-position-vertical-relative:line" coordsize="57646,60">
                <v:shape id="Shape 395836"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spacing w:after="448"/>
        <w:ind w:left="236" w:right="816"/>
      </w:pPr>
      <w:r>
        <w:t xml:space="preserve">Depreciation of the Naira against the US dollar and other major currencies poses a key risk to government’s fiscal position.  Over 80% of Nigeria’s foreign exchange earnings is derived from Crude oil and gas export. In effect, the risk of the Naira depreciating against the US Dollar is a resultant risk should there be a protracted oil price shock, due to the fact that oil revenue receipts are in US dollars. Businesses that rely heavily on forex for imports of production inputs and capital could also be constrained. To address the exchange rate risks, the Central Bank of Nigeria will pursue unification around its I&amp;EFX market rate, which is the window where investors and exporters transact dollars at market determined rates. In addition, the CBN is endeavouring to significantly improve its foreign reserves to be able to enhance its ability to manage exchange rate risks by defending the Naira against depreciation, where possible. </w:t>
      </w:r>
    </w:p>
    <w:p w:rsidR="001C682A" w:rsidRDefault="00B03C38">
      <w:pPr>
        <w:pStyle w:val="Heading3"/>
        <w:tabs>
          <w:tab w:val="center" w:pos="413"/>
          <w:tab w:val="center" w:pos="2586"/>
        </w:tabs>
        <w:ind w:left="0" w:firstLine="0"/>
      </w:pPr>
      <w:bookmarkStart w:id="97" w:name="_Toc389443"/>
      <w:r>
        <w:rPr>
          <w:rFonts w:ascii="Calibri" w:eastAsia="Calibri" w:hAnsi="Calibri" w:cs="Calibri"/>
          <w:color w:val="000000"/>
          <w:sz w:val="22"/>
        </w:rPr>
        <w:tab/>
      </w:r>
      <w:r>
        <w:t xml:space="preserve">9.4 </w:t>
      </w:r>
      <w:r>
        <w:tab/>
        <w:t xml:space="preserve">Risks to Non-Oil Revenue </w:t>
      </w:r>
      <w:bookmarkEnd w:id="97"/>
    </w:p>
    <w:p w:rsidR="001C682A" w:rsidRDefault="00B03C38">
      <w:pPr>
        <w:spacing w:after="187"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33460" name="Group 333460"/>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837" name="Shape 395837"/>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33460" style="width:453.91pt;height:0.47998pt;mso-position-horizontal-relative:char;mso-position-vertical-relative:line" coordsize="57646,60">
                <v:shape id="Shape 395838"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spacing w:after="177"/>
        <w:ind w:left="236" w:right="816"/>
      </w:pPr>
      <w:r>
        <w:t xml:space="preserve">Health crisis from the global pandemic and the attendant lockdowns in many states and the FCT has led to a drop in economic activities without precedent in recent history. Improving domestic revenue mobilisation remains a critical focus for Government. </w:t>
      </w:r>
    </w:p>
    <w:p w:rsidR="001C682A" w:rsidRDefault="00B03C38">
      <w:pPr>
        <w:spacing w:after="444"/>
        <w:ind w:left="236" w:right="816"/>
      </w:pPr>
      <w:r>
        <w:t xml:space="preserve">Government shall continue to drive reforms to improve Nigeria’s revenue profile, particularly increasing earnings from non-oil revenues as efforts aimed at diversification of the revenue base to reflect the GDP continue. Implementation of the Performance Management Framework has shown early results with slight improvement in the performance of Independent revenues from N454.34 billion in 2018 to N557.34 billion in 2019. This, alongside other measures and strategies outlined in section 7 of this document will be sustained over the medium term, which include improving operational efficiencies, enforcing cost-to-income ratios, and generally ensuring the GOEs operate in a more fiscally responsible manner. </w:t>
      </w:r>
      <w:r>
        <w:lastRenderedPageBreak/>
        <w:t xml:space="preserve">Plugging leakages remain key in improving non-oil revenue and efforts will be targeted at compliance within the FGN independent revenue value chain. Efforts to increase the number of tax payers and the tax base shall be pursued vigorously in the medium term, rather that increasing the tax rate (this will be subject to a medium to long term review).  </w:t>
      </w:r>
    </w:p>
    <w:p w:rsidR="001C682A" w:rsidRDefault="00B03C38">
      <w:pPr>
        <w:pStyle w:val="Heading3"/>
        <w:ind w:left="911" w:right="485" w:hanging="708"/>
      </w:pPr>
      <w:bookmarkStart w:id="98" w:name="_Toc389444"/>
      <w:r>
        <w:t xml:space="preserve">9.5 </w:t>
      </w:r>
      <w:r>
        <w:tab/>
        <w:t xml:space="preserve">Sensitivity of Budget aggregates to Macro-economic conditions </w:t>
      </w:r>
      <w:bookmarkEnd w:id="98"/>
    </w:p>
    <w:p w:rsidR="001C682A" w:rsidRDefault="00B03C38">
      <w:pPr>
        <w:spacing w:after="187"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34090" name="Group 334090"/>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839" name="Shape 395839"/>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34090" style="width:453.91pt;height:0.47998pt;mso-position-horizontal-relative:char;mso-position-vertical-relative:line" coordsize="57646,60">
                <v:shape id="Shape 395840"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spacing w:after="174"/>
        <w:ind w:left="236" w:right="816"/>
      </w:pPr>
      <w:r>
        <w:t xml:space="preserve">Fiscal aggregates are sensitive to changes in macroeconomic variables, including commodity prices, exchange rate, interest rates, GDP growth etc. The 2020 – 2022 MTEF/FSP was updated in Q2 2020 following the adverse effect of the oil price wars and the global pandemic on the key assumptions underpinning the 2020 budget as well as the medium-term outlook.  </w:t>
      </w:r>
    </w:p>
    <w:p w:rsidR="001C682A" w:rsidRDefault="00B03C38">
      <w:pPr>
        <w:spacing w:after="173"/>
        <w:ind w:left="236" w:right="816"/>
      </w:pPr>
      <w:r>
        <w:t xml:space="preserve">Generally, macroeconomic/fiscal forecasts and key assumptions are made in </w:t>
      </w:r>
      <w:proofErr w:type="spellStart"/>
      <w:r>
        <w:t>modeling</w:t>
      </w:r>
      <w:proofErr w:type="spellEnd"/>
      <w:r>
        <w:t xml:space="preserve"> FGNs policy and decision making. Therefore, the macroeconomic and fiscal forecasts contained herein as well as the 2021 Budget to follow therefrom, are based on available data and information for </w:t>
      </w:r>
      <w:proofErr w:type="spellStart"/>
      <w:r>
        <w:t>modeling</w:t>
      </w:r>
      <w:proofErr w:type="spellEnd"/>
      <w:r>
        <w:t xml:space="preserve"> at the time of preparation. Professional judgments of historical patterns are also considered. </w:t>
      </w:r>
    </w:p>
    <w:p w:rsidR="001C682A" w:rsidRDefault="00B03C38">
      <w:pPr>
        <w:spacing w:after="173"/>
        <w:ind w:left="236" w:right="816"/>
      </w:pPr>
      <w:r>
        <w:t xml:space="preserve">Should the economic outlook differ from key assumptions and parameters presented in the 2021 – 2023 MTEF/FSP, the revenue and expenditure estimates and projections would also change, as the revenue and expenditure estimates and projections contained in this document and the planned 2021 budget to follow thereon, are based on a number of economic and other parameters. Government may have to reduce planned expenditure in the event that unanticipated changes in economic conditions occur, by way of managing budgetary pressures, should the impact of such change(s) flow through to FGN’s expenditure and revenue forecasts.  </w:t>
      </w:r>
    </w:p>
    <w:p w:rsidR="001C682A" w:rsidRDefault="00B03C38">
      <w:pPr>
        <w:spacing w:after="173"/>
        <w:ind w:left="236" w:right="816"/>
      </w:pPr>
      <w:r>
        <w:t xml:space="preserve">The impact of this risk is high, given the significant share of non-discretionary expenditure to total expenditure. To mitigate this risk, the medium-term revenue forecast relies significantly on observed historical relationships between the variable factors.  </w:t>
      </w:r>
    </w:p>
    <w:p w:rsidR="001C682A" w:rsidRDefault="00B03C38">
      <w:pPr>
        <w:spacing w:after="173"/>
        <w:ind w:left="236" w:right="816"/>
      </w:pPr>
      <w:r>
        <w:t xml:space="preserve">The analysis of the above risks, as well as others, is summarized in Table 9.1 </w:t>
      </w:r>
    </w:p>
    <w:p w:rsidR="001C682A" w:rsidRDefault="00B03C38">
      <w:pPr>
        <w:spacing w:after="0" w:line="259" w:lineRule="auto"/>
        <w:ind w:left="218" w:firstLine="0"/>
        <w:jc w:val="left"/>
      </w:pPr>
      <w:r>
        <w:t xml:space="preserve"> </w:t>
      </w:r>
      <w:r>
        <w:tab/>
        <w:t xml:space="preserve"> </w:t>
      </w:r>
    </w:p>
    <w:p w:rsidR="001C682A" w:rsidRDefault="00B03C38">
      <w:pPr>
        <w:spacing w:after="63"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34569" name="Group 334569"/>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841" name="Shape 395841"/>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34569" style="width:453.91pt;height:0.47998pt;mso-position-horizontal-relative:char;mso-position-vertical-relative:line" coordsize="57646,60">
                <v:shape id="Shape 395842"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spacing w:after="0" w:line="259" w:lineRule="auto"/>
        <w:ind w:left="218" w:firstLine="0"/>
        <w:jc w:val="left"/>
      </w:pPr>
      <w:r>
        <w:rPr>
          <w:rFonts w:ascii="Century Gothic" w:eastAsia="Century Gothic" w:hAnsi="Century Gothic" w:cs="Century Gothic"/>
          <w:color w:val="000080"/>
          <w:sz w:val="24"/>
        </w:rPr>
        <w:t xml:space="preserve">Table 9.1: Risks Likelihood, Impact and Mitigation Strategies </w:t>
      </w:r>
    </w:p>
    <w:p w:rsidR="001C682A" w:rsidRDefault="00B03C38">
      <w:pPr>
        <w:spacing w:after="163"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34570" name="Group 334570"/>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843" name="Shape 395843"/>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34570" style="width:453.91pt;height:0.47998pt;mso-position-horizontal-relative:char;mso-position-vertical-relative:line" coordsize="57646,60">
                <v:shape id="Shape 395844" style="position:absolute;width:57646;height:91;left:0;top:0;" coordsize="5764658,9144" path="m0,0l5764658,0l5764658,9144l0,9144l0,0">
                  <v:stroke weight="0pt" endcap="flat" joinstyle="miter" miterlimit="10" on="false" color="#000000" opacity="0"/>
                  <v:fill on="true" color="#000080"/>
                </v:shape>
              </v:group>
            </w:pict>
          </mc:Fallback>
        </mc:AlternateContent>
      </w:r>
    </w:p>
    <w:tbl>
      <w:tblPr>
        <w:tblStyle w:val="TableGrid"/>
        <w:tblW w:w="9377" w:type="dxa"/>
        <w:tblInd w:w="338" w:type="dxa"/>
        <w:tblCellMar>
          <w:top w:w="65" w:type="dxa"/>
          <w:left w:w="77" w:type="dxa"/>
          <w:right w:w="14" w:type="dxa"/>
        </w:tblCellMar>
        <w:tblLook w:val="04A0" w:firstRow="1" w:lastRow="0" w:firstColumn="1" w:lastColumn="0" w:noHBand="0" w:noVBand="1"/>
      </w:tblPr>
      <w:tblGrid>
        <w:gridCol w:w="2433"/>
        <w:gridCol w:w="1500"/>
        <w:gridCol w:w="1002"/>
        <w:gridCol w:w="4442"/>
      </w:tblGrid>
      <w:tr w:rsidR="001C682A">
        <w:trPr>
          <w:trHeight w:val="620"/>
        </w:trPr>
        <w:tc>
          <w:tcPr>
            <w:tcW w:w="2433" w:type="dxa"/>
            <w:tcBorders>
              <w:top w:val="single" w:sz="8" w:space="0" w:color="000000"/>
              <w:left w:val="single" w:sz="8" w:space="0" w:color="000000"/>
              <w:bottom w:val="single" w:sz="8" w:space="0" w:color="000000"/>
              <w:right w:val="single" w:sz="8" w:space="0" w:color="000000"/>
            </w:tcBorders>
            <w:shd w:val="clear" w:color="auto" w:fill="222A35"/>
          </w:tcPr>
          <w:p w:rsidR="001C682A" w:rsidRDefault="00B03C38">
            <w:pPr>
              <w:spacing w:after="0" w:line="259" w:lineRule="auto"/>
              <w:ind w:left="0" w:firstLine="0"/>
              <w:jc w:val="left"/>
            </w:pPr>
            <w:r>
              <w:rPr>
                <w:b/>
                <w:color w:val="FFFFFF"/>
              </w:rPr>
              <w:t>Risk</w:t>
            </w:r>
            <w:r>
              <w:rPr>
                <w:rFonts w:ascii="Franklin Gothic Book" w:eastAsia="Franklin Gothic Book" w:hAnsi="Franklin Gothic Book" w:cs="Franklin Gothic Book"/>
                <w:sz w:val="20"/>
              </w:rPr>
              <w:t xml:space="preserve"> </w:t>
            </w:r>
          </w:p>
        </w:tc>
        <w:tc>
          <w:tcPr>
            <w:tcW w:w="1500" w:type="dxa"/>
            <w:tcBorders>
              <w:top w:val="single" w:sz="8" w:space="0" w:color="000000"/>
              <w:left w:val="single" w:sz="8" w:space="0" w:color="000000"/>
              <w:bottom w:val="single" w:sz="8" w:space="0" w:color="000000"/>
              <w:right w:val="single" w:sz="8" w:space="0" w:color="000000"/>
            </w:tcBorders>
            <w:shd w:val="clear" w:color="auto" w:fill="222A35"/>
          </w:tcPr>
          <w:p w:rsidR="001C682A" w:rsidRDefault="00B03C38">
            <w:pPr>
              <w:spacing w:after="0" w:line="259" w:lineRule="auto"/>
              <w:ind w:left="4" w:firstLine="0"/>
              <w:jc w:val="left"/>
            </w:pPr>
            <w:r>
              <w:rPr>
                <w:b/>
                <w:color w:val="FFFFFF"/>
              </w:rPr>
              <w:t>Likelihood (H/M/L)</w:t>
            </w:r>
            <w:r>
              <w:rPr>
                <w:rFonts w:ascii="Franklin Gothic Book" w:eastAsia="Franklin Gothic Book" w:hAnsi="Franklin Gothic Book" w:cs="Franklin Gothic Book"/>
                <w:sz w:val="20"/>
              </w:rPr>
              <w:t xml:space="preserve"> </w:t>
            </w:r>
          </w:p>
        </w:tc>
        <w:tc>
          <w:tcPr>
            <w:tcW w:w="1002" w:type="dxa"/>
            <w:tcBorders>
              <w:top w:val="single" w:sz="8" w:space="0" w:color="000000"/>
              <w:left w:val="single" w:sz="8" w:space="0" w:color="000000"/>
              <w:bottom w:val="single" w:sz="8" w:space="0" w:color="000000"/>
              <w:right w:val="single" w:sz="8" w:space="0" w:color="000000"/>
            </w:tcBorders>
            <w:shd w:val="clear" w:color="auto" w:fill="222A35"/>
          </w:tcPr>
          <w:p w:rsidR="001C682A" w:rsidRDefault="00B03C38">
            <w:pPr>
              <w:spacing w:after="0" w:line="259" w:lineRule="auto"/>
              <w:ind w:left="4" w:firstLine="0"/>
              <w:jc w:val="left"/>
            </w:pPr>
            <w:r>
              <w:rPr>
                <w:b/>
                <w:color w:val="FFFFFF"/>
              </w:rPr>
              <w:t>Impact (H/M/L)</w:t>
            </w:r>
            <w:r>
              <w:rPr>
                <w:rFonts w:ascii="Franklin Gothic Book" w:eastAsia="Franklin Gothic Book" w:hAnsi="Franklin Gothic Book" w:cs="Franklin Gothic Book"/>
                <w:sz w:val="20"/>
              </w:rPr>
              <w:t xml:space="preserve"> </w:t>
            </w:r>
          </w:p>
        </w:tc>
        <w:tc>
          <w:tcPr>
            <w:tcW w:w="4442" w:type="dxa"/>
            <w:tcBorders>
              <w:top w:val="single" w:sz="8" w:space="0" w:color="000000"/>
              <w:left w:val="single" w:sz="8" w:space="0" w:color="000000"/>
              <w:bottom w:val="single" w:sz="8" w:space="0" w:color="000000"/>
              <w:right w:val="single" w:sz="8" w:space="0" w:color="000000"/>
            </w:tcBorders>
            <w:shd w:val="clear" w:color="auto" w:fill="222A35"/>
          </w:tcPr>
          <w:p w:rsidR="001C682A" w:rsidRDefault="00B03C38">
            <w:pPr>
              <w:spacing w:after="0" w:line="259" w:lineRule="auto"/>
              <w:ind w:left="5" w:firstLine="0"/>
              <w:jc w:val="left"/>
            </w:pPr>
            <w:r>
              <w:rPr>
                <w:b/>
                <w:color w:val="FFFFFF"/>
              </w:rPr>
              <w:t>Mitigation</w:t>
            </w:r>
            <w:r>
              <w:rPr>
                <w:rFonts w:ascii="Franklin Gothic Book" w:eastAsia="Franklin Gothic Book" w:hAnsi="Franklin Gothic Book" w:cs="Franklin Gothic Book"/>
                <w:sz w:val="31"/>
                <w:vertAlign w:val="subscript"/>
              </w:rPr>
              <w:t xml:space="preserve"> </w:t>
            </w:r>
          </w:p>
        </w:tc>
      </w:tr>
      <w:tr w:rsidR="001C682A">
        <w:trPr>
          <w:trHeight w:val="4005"/>
        </w:trPr>
        <w:tc>
          <w:tcPr>
            <w:tcW w:w="2433"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0" w:firstLine="0"/>
              <w:jc w:val="left"/>
            </w:pPr>
            <w:r>
              <w:lastRenderedPageBreak/>
              <w:t xml:space="preserve">Domestic oil production shocks </w:t>
            </w:r>
            <w:r>
              <w:rPr>
                <w:rFonts w:ascii="Franklin Gothic Book" w:eastAsia="Franklin Gothic Book" w:hAnsi="Franklin Gothic Book" w:cs="Franklin Gothic Book"/>
                <w:sz w:val="24"/>
              </w:rPr>
              <w:t xml:space="preserve"> </w:t>
            </w:r>
          </w:p>
        </w:tc>
        <w:tc>
          <w:tcPr>
            <w:tcW w:w="1500"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4" w:firstLine="0"/>
              <w:jc w:val="left"/>
            </w:pPr>
            <w:r>
              <w:t>L</w:t>
            </w:r>
            <w:r>
              <w:rPr>
                <w:rFonts w:ascii="Franklin Gothic Book" w:eastAsia="Franklin Gothic Book" w:hAnsi="Franklin Gothic Book" w:cs="Franklin Gothic Book"/>
                <w:sz w:val="24"/>
              </w:rPr>
              <w:t xml:space="preserve"> </w:t>
            </w:r>
          </w:p>
        </w:tc>
        <w:tc>
          <w:tcPr>
            <w:tcW w:w="1002"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4" w:firstLine="0"/>
              <w:jc w:val="left"/>
            </w:pPr>
            <w:r>
              <w:t>H</w:t>
            </w:r>
            <w:r>
              <w:rPr>
                <w:rFonts w:ascii="Franklin Gothic Book" w:eastAsia="Franklin Gothic Book" w:hAnsi="Franklin Gothic Book" w:cs="Franklin Gothic Book"/>
                <w:sz w:val="24"/>
              </w:rPr>
              <w:t xml:space="preserve"> </w:t>
            </w:r>
          </w:p>
        </w:tc>
        <w:tc>
          <w:tcPr>
            <w:tcW w:w="4442"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39" w:lineRule="auto"/>
              <w:ind w:left="5" w:right="60" w:firstLine="0"/>
            </w:pPr>
            <w:r>
              <w:t xml:space="preserve">Disruptions due to attacks/sabotage are now substantially abated. Government will continue with improved security architecture, leveraging technology to fully eradicate this risk. </w:t>
            </w:r>
          </w:p>
          <w:p w:rsidR="001C682A" w:rsidRDefault="00B03C38">
            <w:pPr>
              <w:spacing w:after="1" w:line="239" w:lineRule="auto"/>
              <w:ind w:left="5" w:right="59" w:firstLine="0"/>
            </w:pPr>
            <w:r>
              <w:t xml:space="preserve">In addition, government has approved investment opportunities which support medium term aspirations such as </w:t>
            </w:r>
            <w:proofErr w:type="spellStart"/>
            <w:r>
              <w:rPr>
                <w:i/>
              </w:rPr>
              <w:t>ZabaZaba</w:t>
            </w:r>
            <w:proofErr w:type="spellEnd"/>
            <w:r>
              <w:rPr>
                <w:i/>
              </w:rPr>
              <w:t xml:space="preserve"> </w:t>
            </w:r>
          </w:p>
          <w:p w:rsidR="001C682A" w:rsidRDefault="00B03C38">
            <w:pPr>
              <w:spacing w:after="3" w:line="239" w:lineRule="auto"/>
              <w:ind w:left="5" w:firstLine="0"/>
            </w:pPr>
            <w:r>
              <w:rPr>
                <w:i/>
              </w:rPr>
              <w:t>Etan</w:t>
            </w:r>
            <w:r>
              <w:t xml:space="preserve">, </w:t>
            </w:r>
            <w:proofErr w:type="spellStart"/>
            <w:r>
              <w:rPr>
                <w:i/>
              </w:rPr>
              <w:t>Owowo</w:t>
            </w:r>
            <w:proofErr w:type="spellEnd"/>
            <w:r>
              <w:rPr>
                <w:i/>
              </w:rPr>
              <w:t xml:space="preserve">, </w:t>
            </w:r>
            <w:proofErr w:type="spellStart"/>
            <w:r>
              <w:rPr>
                <w:i/>
              </w:rPr>
              <w:t>Bosi</w:t>
            </w:r>
            <w:proofErr w:type="spellEnd"/>
            <w:r>
              <w:rPr>
                <w:i/>
              </w:rPr>
              <w:t xml:space="preserve"> Bonga Southwest/</w:t>
            </w:r>
            <w:proofErr w:type="spellStart"/>
            <w:r>
              <w:rPr>
                <w:i/>
              </w:rPr>
              <w:t>Aparo</w:t>
            </w:r>
            <w:proofErr w:type="spellEnd"/>
            <w:r>
              <w:rPr>
                <w:i/>
              </w:rPr>
              <w:t xml:space="preserve">, Ayala &amp; </w:t>
            </w:r>
            <w:proofErr w:type="spellStart"/>
            <w:r>
              <w:rPr>
                <w:i/>
              </w:rPr>
              <w:t>Madu</w:t>
            </w:r>
            <w:proofErr w:type="spellEnd"/>
            <w:r>
              <w:rPr>
                <w:i/>
              </w:rPr>
              <w:t xml:space="preserve">, </w:t>
            </w:r>
            <w:proofErr w:type="spellStart"/>
            <w:r>
              <w:rPr>
                <w:i/>
              </w:rPr>
              <w:t>Nnwa</w:t>
            </w:r>
            <w:proofErr w:type="spellEnd"/>
            <w:r>
              <w:rPr>
                <w:i/>
              </w:rPr>
              <w:t xml:space="preserve"> </w:t>
            </w:r>
          </w:p>
          <w:p w:rsidR="001C682A" w:rsidRDefault="00B03C38">
            <w:pPr>
              <w:spacing w:after="0" w:line="259" w:lineRule="auto"/>
              <w:ind w:left="5" w:right="59" w:firstLine="0"/>
            </w:pPr>
            <w:r>
              <w:rPr>
                <w:i/>
              </w:rPr>
              <w:t>Doro/</w:t>
            </w:r>
            <w:proofErr w:type="spellStart"/>
            <w:r>
              <w:rPr>
                <w:i/>
              </w:rPr>
              <w:t>Bolia</w:t>
            </w:r>
            <w:proofErr w:type="spellEnd"/>
            <w:r>
              <w:rPr>
                <w:i/>
              </w:rPr>
              <w:t xml:space="preserve"> </w:t>
            </w:r>
            <w:proofErr w:type="spellStart"/>
            <w:r>
              <w:rPr>
                <w:i/>
              </w:rPr>
              <w:t>Chota</w:t>
            </w:r>
            <w:proofErr w:type="spellEnd"/>
            <w:r>
              <w:rPr>
                <w:i/>
              </w:rPr>
              <w:t xml:space="preserve"> field developments</w:t>
            </w:r>
            <w:r>
              <w:t xml:space="preserve"> which are expected to boost production. These will also help to mitigate this risk, and ensure targets are realized save for force majeure or technical shut-ins.  </w:t>
            </w:r>
          </w:p>
        </w:tc>
      </w:tr>
      <w:tr w:rsidR="001C682A">
        <w:trPr>
          <w:trHeight w:val="1951"/>
        </w:trPr>
        <w:tc>
          <w:tcPr>
            <w:tcW w:w="2433"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0" w:firstLine="0"/>
              <w:jc w:val="left"/>
            </w:pPr>
            <w:r>
              <w:t>Oil price shocks</w:t>
            </w:r>
            <w:r>
              <w:rPr>
                <w:rFonts w:ascii="Franklin Gothic Book" w:eastAsia="Franklin Gothic Book" w:hAnsi="Franklin Gothic Book" w:cs="Franklin Gothic Book"/>
                <w:sz w:val="24"/>
              </w:rPr>
              <w:t xml:space="preserve"> </w:t>
            </w:r>
          </w:p>
        </w:tc>
        <w:tc>
          <w:tcPr>
            <w:tcW w:w="1500"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4" w:firstLine="0"/>
              <w:jc w:val="left"/>
            </w:pPr>
            <w:r>
              <w:t>H</w:t>
            </w:r>
            <w:r>
              <w:rPr>
                <w:rFonts w:ascii="Franklin Gothic Book" w:eastAsia="Franklin Gothic Book" w:hAnsi="Franklin Gothic Book" w:cs="Franklin Gothic Book"/>
                <w:sz w:val="24"/>
              </w:rPr>
              <w:t xml:space="preserve"> </w:t>
            </w:r>
          </w:p>
        </w:tc>
        <w:tc>
          <w:tcPr>
            <w:tcW w:w="1002"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4" w:firstLine="0"/>
              <w:jc w:val="left"/>
            </w:pPr>
            <w:r>
              <w:t>H</w:t>
            </w:r>
            <w:r>
              <w:rPr>
                <w:rFonts w:ascii="Franklin Gothic Book" w:eastAsia="Franklin Gothic Book" w:hAnsi="Franklin Gothic Book" w:cs="Franklin Gothic Book"/>
                <w:sz w:val="24"/>
              </w:rPr>
              <w:t xml:space="preserve"> </w:t>
            </w:r>
          </w:p>
        </w:tc>
        <w:tc>
          <w:tcPr>
            <w:tcW w:w="4442"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5" w:right="58" w:firstLine="0"/>
            </w:pPr>
            <w:r>
              <w:t xml:space="preserve">Oil price outlook remains uncertain and volatile. Nigeria will comply with OPEC+ measures in managing price shocks. Nonetheless, the age long fiscal tool to address this is the adoption of a lower than forecast oil price benchmark for fiscal projections over the medium term.  </w:t>
            </w:r>
            <w:r>
              <w:rPr>
                <w:rFonts w:ascii="Franklin Gothic Book" w:eastAsia="Franklin Gothic Book" w:hAnsi="Franklin Gothic Book" w:cs="Franklin Gothic Book"/>
                <w:sz w:val="24"/>
              </w:rPr>
              <w:t xml:space="preserve"> </w:t>
            </w:r>
          </w:p>
        </w:tc>
      </w:tr>
      <w:tr w:rsidR="001C682A">
        <w:trPr>
          <w:trHeight w:val="2727"/>
        </w:trPr>
        <w:tc>
          <w:tcPr>
            <w:tcW w:w="2433" w:type="dxa"/>
            <w:tcBorders>
              <w:top w:val="single" w:sz="8" w:space="0" w:color="000000"/>
              <w:left w:val="single" w:sz="8" w:space="0" w:color="000000"/>
              <w:bottom w:val="single" w:sz="8" w:space="0" w:color="000000"/>
              <w:right w:val="single" w:sz="8" w:space="0" w:color="000000"/>
            </w:tcBorders>
          </w:tcPr>
          <w:p w:rsidR="001C682A" w:rsidRDefault="00B03C38">
            <w:pPr>
              <w:tabs>
                <w:tab w:val="right" w:pos="2342"/>
              </w:tabs>
              <w:spacing w:after="0" w:line="259" w:lineRule="auto"/>
              <w:ind w:left="0" w:firstLine="0"/>
              <w:jc w:val="left"/>
            </w:pPr>
            <w:r>
              <w:t xml:space="preserve">Foreign </w:t>
            </w:r>
            <w:r>
              <w:tab/>
              <w:t xml:space="preserve">Exchange </w:t>
            </w:r>
          </w:p>
          <w:p w:rsidR="001C682A" w:rsidRDefault="00B03C38">
            <w:pPr>
              <w:spacing w:after="0" w:line="259" w:lineRule="auto"/>
              <w:ind w:left="0" w:firstLine="0"/>
              <w:jc w:val="left"/>
            </w:pPr>
            <w:r>
              <w:t>Supply / Rate Risk</w:t>
            </w:r>
            <w:r>
              <w:rPr>
                <w:rFonts w:ascii="Franklin Gothic Book" w:eastAsia="Franklin Gothic Book" w:hAnsi="Franklin Gothic Book" w:cs="Franklin Gothic Book"/>
                <w:sz w:val="24"/>
              </w:rPr>
              <w:t xml:space="preserve"> </w:t>
            </w:r>
          </w:p>
        </w:tc>
        <w:tc>
          <w:tcPr>
            <w:tcW w:w="1500"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4" w:firstLine="0"/>
              <w:jc w:val="left"/>
            </w:pPr>
            <w:r>
              <w:t>M</w:t>
            </w:r>
            <w:r>
              <w:rPr>
                <w:rFonts w:ascii="Franklin Gothic Book" w:eastAsia="Franklin Gothic Book" w:hAnsi="Franklin Gothic Book" w:cs="Franklin Gothic Book"/>
                <w:sz w:val="24"/>
              </w:rPr>
              <w:t xml:space="preserve"> </w:t>
            </w:r>
          </w:p>
        </w:tc>
        <w:tc>
          <w:tcPr>
            <w:tcW w:w="1002"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4" w:firstLine="0"/>
              <w:jc w:val="left"/>
            </w:pPr>
            <w:r>
              <w:t>H</w:t>
            </w:r>
            <w:r>
              <w:rPr>
                <w:rFonts w:ascii="Franklin Gothic Book" w:eastAsia="Franklin Gothic Book" w:hAnsi="Franklin Gothic Book" w:cs="Franklin Gothic Book"/>
                <w:sz w:val="24"/>
              </w:rPr>
              <w:t xml:space="preserve"> </w:t>
            </w:r>
          </w:p>
        </w:tc>
        <w:tc>
          <w:tcPr>
            <w:tcW w:w="4442"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5" w:right="58" w:firstLine="0"/>
            </w:pPr>
            <w:r>
              <w:t>The Central Bank of Nigeria will pursue unification around its I&amp;EFX rate over the medium term, where investors and exporters transact dollars at market determined prices. The exchange rate gap is expected to narrow significantly with the implementation of the rate unification.  Overall, CBN policies to liberalize the FX market, meeting forex demands while building external reserves is expected to mitigate this risk.</w:t>
            </w:r>
            <w:r>
              <w:rPr>
                <w:rFonts w:ascii="Franklin Gothic Book" w:eastAsia="Franklin Gothic Book" w:hAnsi="Franklin Gothic Book" w:cs="Franklin Gothic Book"/>
                <w:sz w:val="24"/>
              </w:rPr>
              <w:t xml:space="preserve"> </w:t>
            </w:r>
          </w:p>
        </w:tc>
      </w:tr>
      <w:tr w:rsidR="001C682A">
        <w:trPr>
          <w:trHeight w:val="3471"/>
        </w:trPr>
        <w:tc>
          <w:tcPr>
            <w:tcW w:w="2433"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0" w:firstLine="0"/>
            </w:pPr>
            <w:r>
              <w:t>Failure to meet non-oil revenue projection</w:t>
            </w:r>
            <w:r>
              <w:rPr>
                <w:rFonts w:ascii="Franklin Gothic Book" w:eastAsia="Franklin Gothic Book" w:hAnsi="Franklin Gothic Book" w:cs="Franklin Gothic Book"/>
                <w:sz w:val="24"/>
              </w:rPr>
              <w:t xml:space="preserve"> </w:t>
            </w:r>
          </w:p>
        </w:tc>
        <w:tc>
          <w:tcPr>
            <w:tcW w:w="1500"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4" w:firstLine="0"/>
              <w:jc w:val="left"/>
            </w:pPr>
            <w:r>
              <w:t>H</w:t>
            </w:r>
            <w:r>
              <w:rPr>
                <w:rFonts w:ascii="Franklin Gothic Book" w:eastAsia="Franklin Gothic Book" w:hAnsi="Franklin Gothic Book" w:cs="Franklin Gothic Book"/>
                <w:sz w:val="24"/>
              </w:rPr>
              <w:t xml:space="preserve"> </w:t>
            </w:r>
          </w:p>
        </w:tc>
        <w:tc>
          <w:tcPr>
            <w:tcW w:w="1002"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4" w:firstLine="0"/>
              <w:jc w:val="left"/>
            </w:pPr>
            <w:r>
              <w:t>H</w:t>
            </w:r>
            <w:r>
              <w:rPr>
                <w:rFonts w:ascii="Franklin Gothic Book" w:eastAsia="Franklin Gothic Book" w:hAnsi="Franklin Gothic Book" w:cs="Franklin Gothic Book"/>
                <w:sz w:val="24"/>
              </w:rPr>
              <w:t xml:space="preserve"> </w:t>
            </w:r>
          </w:p>
        </w:tc>
        <w:tc>
          <w:tcPr>
            <w:tcW w:w="4442"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39" w:lineRule="auto"/>
              <w:ind w:left="5" w:right="58" w:firstLine="0"/>
            </w:pPr>
            <w:r>
              <w:t xml:space="preserve">With economic activities slowing due to lockdowns and the contagion effect of the pandemic, a conservative approach to target setting will be in place, while collection efficiency of major revenue generating agencies will be improved upon. </w:t>
            </w:r>
          </w:p>
          <w:p w:rsidR="001C682A" w:rsidRDefault="00B03C38">
            <w:pPr>
              <w:spacing w:after="0" w:line="259" w:lineRule="auto"/>
              <w:ind w:left="5" w:right="58" w:firstLine="0"/>
            </w:pPr>
            <w:r>
              <w:t>Government will continue to enforce the implementation of the Performance Management Framework for GOEs by ensuring they operate in more fiscally responsible manner whilst reviewing their operational efficiencies, and cost-to-income ratios.</w:t>
            </w:r>
            <w:r>
              <w:rPr>
                <w:rFonts w:ascii="Franklin Gothic Book" w:eastAsia="Franklin Gothic Book" w:hAnsi="Franklin Gothic Book" w:cs="Franklin Gothic Book"/>
                <w:sz w:val="24"/>
              </w:rPr>
              <w:t xml:space="preserve"> </w:t>
            </w:r>
          </w:p>
        </w:tc>
      </w:tr>
    </w:tbl>
    <w:p w:rsidR="001C682A" w:rsidRDefault="001C682A">
      <w:pPr>
        <w:spacing w:after="0" w:line="259" w:lineRule="auto"/>
        <w:ind w:left="-1222" w:right="353" w:firstLine="0"/>
        <w:jc w:val="left"/>
      </w:pPr>
    </w:p>
    <w:tbl>
      <w:tblPr>
        <w:tblStyle w:val="TableGrid"/>
        <w:tblW w:w="9383" w:type="dxa"/>
        <w:tblInd w:w="336" w:type="dxa"/>
        <w:tblCellMar>
          <w:top w:w="98" w:type="dxa"/>
          <w:right w:w="18" w:type="dxa"/>
        </w:tblCellMar>
        <w:tblLook w:val="04A0" w:firstRow="1" w:lastRow="0" w:firstColumn="1" w:lastColumn="0" w:noHBand="0" w:noVBand="1"/>
      </w:tblPr>
      <w:tblGrid>
        <w:gridCol w:w="1778"/>
        <w:gridCol w:w="656"/>
        <w:gridCol w:w="1500"/>
        <w:gridCol w:w="1004"/>
        <w:gridCol w:w="4445"/>
      </w:tblGrid>
      <w:tr w:rsidR="001C682A">
        <w:trPr>
          <w:trHeight w:val="3972"/>
        </w:trPr>
        <w:tc>
          <w:tcPr>
            <w:tcW w:w="2434" w:type="dxa"/>
            <w:gridSpan w:val="2"/>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0" w:firstLine="0"/>
              <w:jc w:val="left"/>
            </w:pPr>
            <w:r>
              <w:lastRenderedPageBreak/>
              <w:t>Insecurity in parts of the country</w:t>
            </w:r>
            <w:r>
              <w:rPr>
                <w:rFonts w:ascii="Franklin Gothic Book" w:eastAsia="Franklin Gothic Book" w:hAnsi="Franklin Gothic Book" w:cs="Franklin Gothic Book"/>
                <w:sz w:val="24"/>
              </w:rPr>
              <w:t xml:space="preserve"> </w:t>
            </w:r>
          </w:p>
        </w:tc>
        <w:tc>
          <w:tcPr>
            <w:tcW w:w="1500"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2" w:firstLine="0"/>
              <w:jc w:val="left"/>
            </w:pPr>
            <w:r>
              <w:t>M</w:t>
            </w:r>
            <w:r>
              <w:rPr>
                <w:rFonts w:ascii="Franklin Gothic Book" w:eastAsia="Franklin Gothic Book" w:hAnsi="Franklin Gothic Book" w:cs="Franklin Gothic Book"/>
                <w:sz w:val="24"/>
              </w:rPr>
              <w:t xml:space="preserve"> </w:t>
            </w:r>
          </w:p>
        </w:tc>
        <w:tc>
          <w:tcPr>
            <w:tcW w:w="1004"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2" w:firstLine="0"/>
              <w:jc w:val="left"/>
            </w:pPr>
            <w:r>
              <w:t>H</w:t>
            </w:r>
            <w:r>
              <w:rPr>
                <w:rFonts w:ascii="Franklin Gothic Book" w:eastAsia="Franklin Gothic Book" w:hAnsi="Franklin Gothic Book" w:cs="Franklin Gothic Book"/>
                <w:sz w:val="24"/>
              </w:rPr>
              <w:t xml:space="preserve"> </w:t>
            </w:r>
          </w:p>
        </w:tc>
        <w:tc>
          <w:tcPr>
            <w:tcW w:w="4445"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2" w:right="58" w:firstLine="0"/>
            </w:pPr>
            <w:r>
              <w:t>Banditry and other internal security issues are being tackled by the Nigeria Police and the Military High command. Economic activities in some states have been negatively affected by this, including possible food shortage as farmers are unable to go to farms in some cases. Governments ongoing efforts in restoring order, working with states and local communities to deploy peace-building &amp; dialogue mechanisms are still ongoing with new strategies adopted, while socioeconomic/humanitarian interventions shall continue and are expected to mitigate this risk</w:t>
            </w:r>
            <w:r>
              <w:rPr>
                <w:rFonts w:ascii="Franklin Gothic Book" w:eastAsia="Franklin Gothic Book" w:hAnsi="Franklin Gothic Book" w:cs="Franklin Gothic Book"/>
                <w:sz w:val="24"/>
              </w:rPr>
              <w:t xml:space="preserve"> </w:t>
            </w:r>
          </w:p>
        </w:tc>
      </w:tr>
      <w:tr w:rsidR="001C682A">
        <w:trPr>
          <w:trHeight w:val="2837"/>
        </w:trPr>
        <w:tc>
          <w:tcPr>
            <w:tcW w:w="2434" w:type="dxa"/>
            <w:gridSpan w:val="2"/>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0" w:firstLine="0"/>
              <w:jc w:val="left"/>
            </w:pPr>
            <w:r>
              <w:t>Natural disaster</w:t>
            </w:r>
            <w:r>
              <w:rPr>
                <w:rFonts w:ascii="Franklin Gothic Book" w:eastAsia="Franklin Gothic Book" w:hAnsi="Franklin Gothic Book" w:cs="Franklin Gothic Book"/>
                <w:sz w:val="24"/>
              </w:rPr>
              <w:t xml:space="preserve"> </w:t>
            </w:r>
          </w:p>
        </w:tc>
        <w:tc>
          <w:tcPr>
            <w:tcW w:w="1500"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2" w:firstLine="0"/>
              <w:jc w:val="left"/>
            </w:pPr>
            <w:r>
              <w:t xml:space="preserve">L  </w:t>
            </w:r>
            <w:r>
              <w:rPr>
                <w:rFonts w:ascii="Franklin Gothic Book" w:eastAsia="Franklin Gothic Book" w:hAnsi="Franklin Gothic Book" w:cs="Franklin Gothic Book"/>
                <w:sz w:val="24"/>
              </w:rPr>
              <w:t xml:space="preserve"> </w:t>
            </w:r>
          </w:p>
        </w:tc>
        <w:tc>
          <w:tcPr>
            <w:tcW w:w="1004"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2" w:firstLine="0"/>
              <w:jc w:val="left"/>
            </w:pPr>
            <w:r>
              <w:t>H</w:t>
            </w:r>
            <w:r>
              <w:rPr>
                <w:rFonts w:ascii="Franklin Gothic Book" w:eastAsia="Franklin Gothic Book" w:hAnsi="Franklin Gothic Book" w:cs="Franklin Gothic Book"/>
                <w:sz w:val="24"/>
              </w:rPr>
              <w:t xml:space="preserve"> </w:t>
            </w:r>
          </w:p>
        </w:tc>
        <w:tc>
          <w:tcPr>
            <w:tcW w:w="4445"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2" w:right="58" w:firstLine="0"/>
            </w:pPr>
            <w:r>
              <w:t>The only natural disaster currently forecast is flash flooding, during the rainy season. No other imminent natural disaster warning for Nigeria is forecasted over the medium term by any of the relevant agencies monitoring such. However, there is a minimum balance of N20bn provided for emergency response by the FGN in the event of a natural disaster in any part of the country. This fund is domiciled in the Ecological Funds account.</w:t>
            </w:r>
            <w:r>
              <w:rPr>
                <w:rFonts w:ascii="Franklin Gothic Book" w:eastAsia="Franklin Gothic Book" w:hAnsi="Franklin Gothic Book" w:cs="Franklin Gothic Book"/>
                <w:sz w:val="24"/>
              </w:rPr>
              <w:t xml:space="preserve"> </w:t>
            </w:r>
          </w:p>
        </w:tc>
      </w:tr>
      <w:tr w:rsidR="001C682A">
        <w:trPr>
          <w:trHeight w:val="2458"/>
        </w:trPr>
        <w:tc>
          <w:tcPr>
            <w:tcW w:w="2434" w:type="dxa"/>
            <w:gridSpan w:val="2"/>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0" w:firstLine="0"/>
              <w:jc w:val="left"/>
            </w:pPr>
            <w:r>
              <w:t>Insurgency</w:t>
            </w:r>
            <w:r>
              <w:rPr>
                <w:rFonts w:ascii="Franklin Gothic Book" w:eastAsia="Franklin Gothic Book" w:hAnsi="Franklin Gothic Book" w:cs="Franklin Gothic Book"/>
                <w:sz w:val="24"/>
              </w:rPr>
              <w:t xml:space="preserve"> </w:t>
            </w:r>
          </w:p>
        </w:tc>
        <w:tc>
          <w:tcPr>
            <w:tcW w:w="1500"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2" w:firstLine="0"/>
              <w:jc w:val="left"/>
            </w:pPr>
            <w:r>
              <w:t>M</w:t>
            </w:r>
            <w:r>
              <w:rPr>
                <w:rFonts w:ascii="Franklin Gothic Book" w:eastAsia="Franklin Gothic Book" w:hAnsi="Franklin Gothic Book" w:cs="Franklin Gothic Book"/>
                <w:sz w:val="24"/>
              </w:rPr>
              <w:t xml:space="preserve"> </w:t>
            </w:r>
          </w:p>
        </w:tc>
        <w:tc>
          <w:tcPr>
            <w:tcW w:w="1004"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2" w:firstLine="0"/>
              <w:jc w:val="left"/>
            </w:pPr>
            <w:r>
              <w:t>H</w:t>
            </w:r>
            <w:r>
              <w:rPr>
                <w:rFonts w:ascii="Franklin Gothic Book" w:eastAsia="Franklin Gothic Book" w:hAnsi="Franklin Gothic Book" w:cs="Franklin Gothic Book"/>
                <w:sz w:val="24"/>
              </w:rPr>
              <w:t xml:space="preserve"> </w:t>
            </w:r>
          </w:p>
        </w:tc>
        <w:tc>
          <w:tcPr>
            <w:tcW w:w="4445"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2" w:right="59" w:firstLine="0"/>
            </w:pPr>
            <w:r>
              <w:t xml:space="preserve">There has been some improvement leading to de-escalation of insurgency. Mitigation strategy largely remains the same from previous years, a twin track approach of dialogue and military force will be maintained in the event of an upsurge in major security breaches and relevant military operations required in the north east. </w:t>
            </w:r>
            <w:r>
              <w:rPr>
                <w:rFonts w:ascii="Franklin Gothic Book" w:eastAsia="Franklin Gothic Book" w:hAnsi="Franklin Gothic Book" w:cs="Franklin Gothic Book"/>
                <w:sz w:val="24"/>
              </w:rPr>
              <w:t xml:space="preserve"> </w:t>
            </w:r>
          </w:p>
        </w:tc>
      </w:tr>
      <w:tr w:rsidR="001C682A">
        <w:trPr>
          <w:trHeight w:val="4035"/>
        </w:trPr>
        <w:tc>
          <w:tcPr>
            <w:tcW w:w="2434" w:type="dxa"/>
            <w:gridSpan w:val="2"/>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0" w:firstLine="0"/>
            </w:pPr>
            <w:r>
              <w:t xml:space="preserve">Failure of Power Sector </w:t>
            </w:r>
          </w:p>
          <w:p w:rsidR="001C682A" w:rsidRDefault="00B03C38">
            <w:pPr>
              <w:spacing w:after="0" w:line="259" w:lineRule="auto"/>
              <w:ind w:left="0" w:firstLine="0"/>
            </w:pPr>
            <w:r>
              <w:t xml:space="preserve">Recovery Programme </w:t>
            </w:r>
          </w:p>
          <w:p w:rsidR="001C682A" w:rsidRDefault="00B03C38">
            <w:pPr>
              <w:spacing w:after="0" w:line="259" w:lineRule="auto"/>
              <w:ind w:left="0" w:firstLine="0"/>
              <w:jc w:val="left"/>
            </w:pPr>
            <w:r>
              <w:t>(PSRP)</w:t>
            </w:r>
            <w:r>
              <w:rPr>
                <w:rFonts w:ascii="Franklin Gothic Book" w:eastAsia="Franklin Gothic Book" w:hAnsi="Franklin Gothic Book" w:cs="Franklin Gothic Book"/>
                <w:sz w:val="24"/>
              </w:rPr>
              <w:t xml:space="preserve"> </w:t>
            </w:r>
          </w:p>
        </w:tc>
        <w:tc>
          <w:tcPr>
            <w:tcW w:w="1500"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2" w:firstLine="0"/>
              <w:jc w:val="left"/>
            </w:pPr>
            <w:r>
              <w:t>H</w:t>
            </w:r>
            <w:r>
              <w:rPr>
                <w:rFonts w:ascii="Franklin Gothic Book" w:eastAsia="Franklin Gothic Book" w:hAnsi="Franklin Gothic Book" w:cs="Franklin Gothic Book"/>
                <w:sz w:val="24"/>
              </w:rPr>
              <w:t xml:space="preserve"> </w:t>
            </w:r>
          </w:p>
        </w:tc>
        <w:tc>
          <w:tcPr>
            <w:tcW w:w="1004"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2" w:firstLine="0"/>
              <w:jc w:val="left"/>
            </w:pPr>
            <w:r>
              <w:t>H</w:t>
            </w:r>
            <w:r>
              <w:rPr>
                <w:rFonts w:ascii="Franklin Gothic Book" w:eastAsia="Franklin Gothic Book" w:hAnsi="Franklin Gothic Book" w:cs="Franklin Gothic Book"/>
                <w:sz w:val="24"/>
              </w:rPr>
              <w:t xml:space="preserve"> </w:t>
            </w:r>
          </w:p>
        </w:tc>
        <w:tc>
          <w:tcPr>
            <w:tcW w:w="4445" w:type="dxa"/>
            <w:tcBorders>
              <w:top w:val="single" w:sz="8" w:space="0" w:color="000000"/>
              <w:left w:val="single" w:sz="8" w:space="0" w:color="000000"/>
              <w:bottom w:val="single" w:sz="8" w:space="0" w:color="000000"/>
              <w:right w:val="single" w:sz="8" w:space="0" w:color="000000"/>
            </w:tcBorders>
          </w:tcPr>
          <w:p w:rsidR="001C682A" w:rsidRDefault="00B03C38">
            <w:pPr>
              <w:spacing w:after="1" w:line="239" w:lineRule="auto"/>
              <w:ind w:left="2" w:right="58" w:firstLine="0"/>
            </w:pPr>
            <w:r>
              <w:t xml:space="preserve">A World Bank facility ($750m performance – based loan) to support the implementation of the FGN PSRP has been approved.  The CBN Payment Assurance Facility extension (N600bn) will also keep liquidity in the sector until June next year alongside budgetary provisions as contained in the PSRP financing plan A potential funding gap of up to N1.5trn in 2020 will be created in the event of no implementation of cost reflective tariffs. </w:t>
            </w:r>
          </w:p>
          <w:p w:rsidR="001C682A" w:rsidRDefault="00B03C38">
            <w:pPr>
              <w:spacing w:after="0" w:line="259" w:lineRule="auto"/>
              <w:ind w:left="2" w:right="58" w:firstLine="0"/>
            </w:pPr>
            <w:r>
              <w:t xml:space="preserve">Government has no fiscal space to accommodate further intervention in the sector. A tariff review is thus inevitable. </w:t>
            </w:r>
          </w:p>
        </w:tc>
      </w:tr>
      <w:tr w:rsidR="001C682A">
        <w:trPr>
          <w:trHeight w:val="4733"/>
        </w:trPr>
        <w:tc>
          <w:tcPr>
            <w:tcW w:w="1778" w:type="dxa"/>
            <w:tcBorders>
              <w:top w:val="single" w:sz="8" w:space="0" w:color="000000"/>
              <w:left w:val="single" w:sz="8" w:space="0" w:color="000000"/>
              <w:bottom w:val="single" w:sz="8" w:space="0" w:color="000000"/>
              <w:right w:val="nil"/>
            </w:tcBorders>
          </w:tcPr>
          <w:p w:rsidR="001C682A" w:rsidRDefault="00B03C38">
            <w:pPr>
              <w:spacing w:after="0" w:line="259" w:lineRule="auto"/>
              <w:ind w:left="79" w:firstLine="0"/>
              <w:jc w:val="left"/>
            </w:pPr>
            <w:r>
              <w:lastRenderedPageBreak/>
              <w:t xml:space="preserve">Managing </w:t>
            </w:r>
          </w:p>
          <w:p w:rsidR="001C682A" w:rsidRDefault="00B03C38">
            <w:pPr>
              <w:spacing w:after="0" w:line="259" w:lineRule="auto"/>
              <w:ind w:left="79" w:firstLine="0"/>
              <w:jc w:val="left"/>
            </w:pPr>
            <w:r>
              <w:t xml:space="preserve">National </w:t>
            </w:r>
          </w:p>
          <w:p w:rsidR="001C682A" w:rsidRDefault="00B03C38">
            <w:pPr>
              <w:spacing w:after="0" w:line="259" w:lineRule="auto"/>
              <w:ind w:left="79" w:firstLine="0"/>
              <w:jc w:val="left"/>
            </w:pPr>
            <w:r>
              <w:t>Pressures</w:t>
            </w:r>
            <w:r>
              <w:rPr>
                <w:rFonts w:ascii="Franklin Gothic Book" w:eastAsia="Franklin Gothic Book" w:hAnsi="Franklin Gothic Book" w:cs="Franklin Gothic Book"/>
                <w:sz w:val="24"/>
              </w:rPr>
              <w:t xml:space="preserve"> </w:t>
            </w:r>
          </w:p>
        </w:tc>
        <w:tc>
          <w:tcPr>
            <w:tcW w:w="656" w:type="dxa"/>
            <w:tcBorders>
              <w:top w:val="single" w:sz="8" w:space="0" w:color="000000"/>
              <w:left w:val="nil"/>
              <w:bottom w:val="single" w:sz="8" w:space="0" w:color="000000"/>
              <w:right w:val="single" w:sz="8" w:space="0" w:color="000000"/>
            </w:tcBorders>
          </w:tcPr>
          <w:p w:rsidR="001C682A" w:rsidRDefault="00B03C38">
            <w:pPr>
              <w:spacing w:after="0" w:line="259" w:lineRule="auto"/>
              <w:ind w:left="113" w:firstLine="0"/>
            </w:pPr>
            <w:r>
              <w:t>Sub-</w:t>
            </w:r>
          </w:p>
          <w:p w:rsidR="001C682A" w:rsidRDefault="00B03C38">
            <w:pPr>
              <w:spacing w:after="0" w:line="259" w:lineRule="auto"/>
              <w:ind w:left="0" w:firstLine="0"/>
            </w:pPr>
            <w:r>
              <w:t xml:space="preserve">Fiscal </w:t>
            </w:r>
          </w:p>
        </w:tc>
        <w:tc>
          <w:tcPr>
            <w:tcW w:w="1500"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82" w:firstLine="0"/>
              <w:jc w:val="left"/>
            </w:pPr>
            <w:r>
              <w:t>H</w:t>
            </w:r>
            <w:r>
              <w:rPr>
                <w:rFonts w:ascii="Franklin Gothic Book" w:eastAsia="Franklin Gothic Book" w:hAnsi="Franklin Gothic Book" w:cs="Franklin Gothic Book"/>
                <w:sz w:val="24"/>
              </w:rPr>
              <w:t xml:space="preserve"> </w:t>
            </w:r>
          </w:p>
        </w:tc>
        <w:tc>
          <w:tcPr>
            <w:tcW w:w="1004" w:type="dxa"/>
            <w:tcBorders>
              <w:top w:val="single" w:sz="8" w:space="0" w:color="000000"/>
              <w:left w:val="single" w:sz="8" w:space="0" w:color="000000"/>
              <w:bottom w:val="single" w:sz="8" w:space="0" w:color="000000"/>
              <w:right w:val="single" w:sz="8" w:space="0" w:color="000000"/>
            </w:tcBorders>
          </w:tcPr>
          <w:p w:rsidR="001C682A" w:rsidRDefault="00B03C38">
            <w:pPr>
              <w:spacing w:after="0" w:line="259" w:lineRule="auto"/>
              <w:ind w:left="82" w:firstLine="0"/>
              <w:jc w:val="left"/>
            </w:pPr>
            <w:r>
              <w:t>H</w:t>
            </w:r>
            <w:r>
              <w:rPr>
                <w:rFonts w:ascii="Franklin Gothic Book" w:eastAsia="Franklin Gothic Book" w:hAnsi="Franklin Gothic Book" w:cs="Franklin Gothic Book"/>
                <w:sz w:val="24"/>
              </w:rPr>
              <w:t xml:space="preserve"> </w:t>
            </w:r>
          </w:p>
        </w:tc>
        <w:tc>
          <w:tcPr>
            <w:tcW w:w="4445" w:type="dxa"/>
            <w:tcBorders>
              <w:top w:val="single" w:sz="8" w:space="0" w:color="000000"/>
              <w:left w:val="single" w:sz="8" w:space="0" w:color="000000"/>
              <w:bottom w:val="single" w:sz="8" w:space="0" w:color="000000"/>
              <w:right w:val="single" w:sz="8" w:space="0" w:color="000000"/>
            </w:tcBorders>
          </w:tcPr>
          <w:p w:rsidR="001C682A" w:rsidRDefault="00B03C38">
            <w:pPr>
              <w:spacing w:after="2" w:line="238" w:lineRule="auto"/>
              <w:ind w:left="82" w:right="60" w:firstLine="0"/>
            </w:pPr>
            <w:r>
              <w:t xml:space="preserve">Decline in subnational revenues sources would increase their dependence on fiscal transfers cum bailouts from the FGN, with </w:t>
            </w:r>
          </w:p>
          <w:p w:rsidR="001C682A" w:rsidRDefault="00B03C38">
            <w:pPr>
              <w:tabs>
                <w:tab w:val="center" w:pos="2159"/>
                <w:tab w:val="center" w:pos="3397"/>
                <w:tab w:val="right" w:pos="4428"/>
              </w:tabs>
              <w:spacing w:after="0" w:line="259" w:lineRule="auto"/>
              <w:ind w:left="0" w:firstLine="0"/>
              <w:jc w:val="left"/>
            </w:pPr>
            <w:r>
              <w:t xml:space="preserve">damaging </w:t>
            </w:r>
            <w:r>
              <w:tab/>
              <w:t xml:space="preserve">consequences </w:t>
            </w:r>
            <w:r>
              <w:tab/>
              <w:t xml:space="preserve">for </w:t>
            </w:r>
            <w:r>
              <w:tab/>
              <w:t>non-</w:t>
            </w:r>
          </w:p>
          <w:p w:rsidR="001C682A" w:rsidRDefault="00B03C38">
            <w:pPr>
              <w:spacing w:after="1" w:line="239" w:lineRule="auto"/>
              <w:ind w:left="82" w:right="59" w:firstLine="0"/>
            </w:pPr>
            <w:r>
              <w:t xml:space="preserve">discretional spending which will affect infrastructure investments and service delivery.  </w:t>
            </w:r>
          </w:p>
          <w:p w:rsidR="001C682A" w:rsidRDefault="00B03C38">
            <w:pPr>
              <w:spacing w:after="0" w:line="259" w:lineRule="auto"/>
              <w:ind w:left="82" w:firstLine="0"/>
              <w:jc w:val="left"/>
            </w:pPr>
            <w:r>
              <w:t xml:space="preserve"> </w:t>
            </w:r>
          </w:p>
          <w:p w:rsidR="001C682A" w:rsidRDefault="00B03C38">
            <w:pPr>
              <w:tabs>
                <w:tab w:val="center" w:pos="1018"/>
                <w:tab w:val="center" w:pos="1866"/>
                <w:tab w:val="center" w:pos="2530"/>
                <w:tab w:val="center" w:pos="3176"/>
                <w:tab w:val="right" w:pos="4428"/>
              </w:tabs>
              <w:spacing w:after="0" w:line="259" w:lineRule="auto"/>
              <w:ind w:left="0" w:firstLine="0"/>
              <w:jc w:val="left"/>
            </w:pPr>
            <w:r>
              <w:t xml:space="preserve">To </w:t>
            </w:r>
            <w:r>
              <w:tab/>
              <w:t xml:space="preserve">mitigate </w:t>
            </w:r>
            <w:r>
              <w:tab/>
              <w:t xml:space="preserve">this </w:t>
            </w:r>
            <w:r>
              <w:tab/>
              <w:t xml:space="preserve">risk, </w:t>
            </w:r>
            <w:r>
              <w:tab/>
              <w:t xml:space="preserve">the </w:t>
            </w:r>
            <w:r>
              <w:tab/>
              <w:t xml:space="preserve">Federal </w:t>
            </w:r>
          </w:p>
          <w:p w:rsidR="001C682A" w:rsidRDefault="00B03C38">
            <w:pPr>
              <w:tabs>
                <w:tab w:val="center" w:pos="1730"/>
                <w:tab w:val="center" w:pos="2574"/>
                <w:tab w:val="right" w:pos="4428"/>
              </w:tabs>
              <w:spacing w:after="0" w:line="259" w:lineRule="auto"/>
              <w:ind w:left="0" w:firstLine="0"/>
              <w:jc w:val="left"/>
            </w:pPr>
            <w:r>
              <w:t xml:space="preserve">Government </w:t>
            </w:r>
            <w:r>
              <w:tab/>
              <w:t xml:space="preserve">has </w:t>
            </w:r>
            <w:r>
              <w:tab/>
              <w:t xml:space="preserve">included </w:t>
            </w:r>
            <w:r>
              <w:tab/>
              <w:t xml:space="preserve">subnational </w:t>
            </w:r>
          </w:p>
          <w:p w:rsidR="001C682A" w:rsidRDefault="00B03C38">
            <w:pPr>
              <w:spacing w:after="0" w:line="259" w:lineRule="auto"/>
              <w:ind w:left="82" w:firstLine="0"/>
            </w:pPr>
            <w:r>
              <w:t xml:space="preserve">Governments’ needs in discussions with the </w:t>
            </w:r>
          </w:p>
          <w:p w:rsidR="001C682A" w:rsidRDefault="00B03C38">
            <w:pPr>
              <w:spacing w:after="0" w:line="259" w:lineRule="auto"/>
              <w:ind w:left="82" w:right="59" w:firstLine="0"/>
            </w:pPr>
            <w:r>
              <w:t>World Banks’s Performance for Results (P4R) facility up to $1.5bn, including upscaling the $750m SFTAS programme for disbursement to qualifying states, to prioritise investments in critical sectors such Health, Water, Sanitation etc, and strengthen infrastructure planning.</w:t>
            </w:r>
            <w:r>
              <w:rPr>
                <w:rFonts w:ascii="Franklin Gothic Book" w:eastAsia="Franklin Gothic Book" w:hAnsi="Franklin Gothic Book" w:cs="Franklin Gothic Book"/>
                <w:sz w:val="24"/>
              </w:rPr>
              <w:t xml:space="preserve"> </w:t>
            </w:r>
          </w:p>
        </w:tc>
      </w:tr>
    </w:tbl>
    <w:p w:rsidR="001C682A" w:rsidRDefault="00B03C38">
      <w:pPr>
        <w:spacing w:after="136" w:line="259" w:lineRule="auto"/>
        <w:ind w:left="218" w:firstLine="0"/>
        <w:jc w:val="left"/>
      </w:pPr>
      <w:r>
        <w:t xml:space="preserve"> </w:t>
      </w:r>
    </w:p>
    <w:p w:rsidR="001C682A" w:rsidRDefault="00B03C38">
      <w:pPr>
        <w:spacing w:after="412" w:line="259" w:lineRule="auto"/>
        <w:ind w:left="218" w:firstLine="0"/>
        <w:jc w:val="left"/>
      </w:pPr>
      <w:r>
        <w:rPr>
          <w:rFonts w:ascii="Franklin Gothic Book" w:eastAsia="Franklin Gothic Book" w:hAnsi="Franklin Gothic Book" w:cs="Franklin Gothic Book"/>
          <w:sz w:val="24"/>
        </w:rPr>
        <w:t xml:space="preserve"> </w:t>
      </w:r>
    </w:p>
    <w:p w:rsidR="001C682A" w:rsidRDefault="00B03C38">
      <w:pPr>
        <w:pStyle w:val="Heading1"/>
        <w:spacing w:after="0" w:line="259" w:lineRule="auto"/>
        <w:ind w:left="218" w:firstLine="0"/>
      </w:pPr>
      <w:bookmarkStart w:id="99" w:name="_Toc389445"/>
      <w:r>
        <w:rPr>
          <w:rFonts w:ascii="Franklin Gothic Book" w:eastAsia="Franklin Gothic Book" w:hAnsi="Franklin Gothic Book" w:cs="Franklin Gothic Book"/>
          <w:color w:val="000000"/>
          <w:sz w:val="32"/>
        </w:rPr>
        <w:t xml:space="preserve">10.     CONCLUSION </w:t>
      </w:r>
      <w:bookmarkEnd w:id="99"/>
    </w:p>
    <w:p w:rsidR="001C682A" w:rsidRDefault="00B03C38">
      <w:pPr>
        <w:spacing w:after="249" w:line="259" w:lineRule="auto"/>
        <w:ind w:left="190" w:firstLine="0"/>
        <w:jc w:val="left"/>
      </w:pPr>
      <w:r>
        <w:rPr>
          <w:rFonts w:ascii="Calibri" w:eastAsia="Calibri" w:hAnsi="Calibri" w:cs="Calibri"/>
          <w:noProof/>
        </w:rPr>
        <mc:AlternateContent>
          <mc:Choice Requires="wpg">
            <w:drawing>
              <wp:inline distT="0" distB="0" distL="0" distR="0">
                <wp:extent cx="5764658" cy="18288"/>
                <wp:effectExtent l="0" t="0" r="0" b="0"/>
                <wp:docPr id="335438" name="Group 335438"/>
                <wp:cNvGraphicFramePr/>
                <a:graphic xmlns:a="http://schemas.openxmlformats.org/drawingml/2006/main">
                  <a:graphicData uri="http://schemas.microsoft.com/office/word/2010/wordprocessingGroup">
                    <wpg:wgp>
                      <wpg:cNvGrpSpPr/>
                      <wpg:grpSpPr>
                        <a:xfrm>
                          <a:off x="0" y="0"/>
                          <a:ext cx="5764658" cy="18288"/>
                          <a:chOff x="0" y="0"/>
                          <a:chExt cx="5764658" cy="18288"/>
                        </a:xfrm>
                      </wpg:grpSpPr>
                      <wps:wsp>
                        <wps:cNvPr id="395845" name="Shape 395845"/>
                        <wps:cNvSpPr/>
                        <wps:spPr>
                          <a:xfrm>
                            <a:off x="0" y="0"/>
                            <a:ext cx="5764658" cy="18288"/>
                          </a:xfrm>
                          <a:custGeom>
                            <a:avLst/>
                            <a:gdLst/>
                            <a:ahLst/>
                            <a:cxnLst/>
                            <a:rect l="0" t="0" r="0" b="0"/>
                            <a:pathLst>
                              <a:path w="5764658" h="18288">
                                <a:moveTo>
                                  <a:pt x="0" y="0"/>
                                </a:moveTo>
                                <a:lnTo>
                                  <a:pt x="5764658" y="0"/>
                                </a:lnTo>
                                <a:lnTo>
                                  <a:pt x="5764658" y="18288"/>
                                </a:lnTo>
                                <a:lnTo>
                                  <a:pt x="0" y="1828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35438" style="width:453.91pt;height:1.44pt;mso-position-horizontal-relative:char;mso-position-vertical-relative:line" coordsize="57646,182">
                <v:shape id="Shape 395846" style="position:absolute;width:57646;height:182;left:0;top:0;" coordsize="5764658,18288" path="m0,0l5764658,0l5764658,18288l0,18288l0,0">
                  <v:stroke weight="0pt" endcap="flat" joinstyle="miter" miterlimit="10" on="false" color="#000000" opacity="0"/>
                  <v:fill on="true" color="#000080"/>
                </v:shape>
              </v:group>
            </w:pict>
          </mc:Fallback>
        </mc:AlternateContent>
      </w:r>
    </w:p>
    <w:p w:rsidR="001C682A" w:rsidRDefault="00B03C38">
      <w:pPr>
        <w:spacing w:after="102"/>
        <w:ind w:left="236" w:right="816"/>
      </w:pPr>
      <w:r>
        <w:t xml:space="preserve">The medium-term outlook for the FGN suggests that fiscal risk is somewhat elevated, largely due to COVID-19 disruptions. The potential for weaker-than-expected economic performance threatens the revenue forecast, as seen in the base year (2020 revised budget) and the updated medium-term projections. This fiscal strategy paper has been prepared against the backdrop of heightened global economic uncertainty. The COVID-19 Pandemic and its possible contagion effect from downward revision of advance economies’ outlook will certainly have effect on financial markets and slow economic recovery in the medium term. </w:t>
      </w:r>
    </w:p>
    <w:p w:rsidR="001C682A" w:rsidRDefault="00B03C38">
      <w:pPr>
        <w:spacing w:after="102"/>
        <w:ind w:left="236" w:right="816"/>
      </w:pPr>
      <w:r>
        <w:t xml:space="preserve">Downside risks to economic development have been taken into consideration in the preparation of the 2021-23 MTEF/FSP. Government has identified key sectors that are expected to drive recovery and growth and there will be allocative efficiency for capital spend in those priority sectors over the medium term. Furthermore, emphasis shall be on completing ongoing projects and Government will ensure completion of critical ongoing projects within the medium term. This is to ensure we work down the current portfolio of ongoing projects by 2023 where possible. </w:t>
      </w:r>
    </w:p>
    <w:p w:rsidR="001C682A" w:rsidRDefault="00B03C38">
      <w:pPr>
        <w:spacing w:after="102"/>
        <w:ind w:left="236" w:right="816"/>
      </w:pPr>
      <w:r>
        <w:t xml:space="preserve">Furthermore, Public Expenditure Reviews (PER) will be carried out for selected sectors to review their quality of spending over a three-year period with a view to addressing identified utilization issues across board. In addition, attention will continue to be paid to the costing of activities/projects, competitive bidding in public procurement, the Open Treasury Portal, continuous audit of MDAs’ operations and other public financial management reforms which are expected to yield significant results. </w:t>
      </w:r>
    </w:p>
    <w:p w:rsidR="001C682A" w:rsidRDefault="00B03C38">
      <w:pPr>
        <w:ind w:left="236" w:right="816"/>
      </w:pPr>
      <w:r>
        <w:t xml:space="preserve">The long-term sustainability of public finances is considered priority and government is committed to stabilizing national debt as a share of GDP over the medium term. The outlook for contingent liabilities is also a source of vulnerability. The macroeconomic and fiscal policies </w:t>
      </w:r>
      <w:r>
        <w:lastRenderedPageBreak/>
        <w:t xml:space="preserve">outlined therefore, are in part, designed to reduce these risks, and ensure that government’s fiscal targets are achieved.  </w:t>
      </w:r>
    </w:p>
    <w:p w:rsidR="001C682A" w:rsidRDefault="00B03C38">
      <w:pPr>
        <w:spacing w:after="102"/>
        <w:ind w:left="236" w:right="816"/>
      </w:pPr>
      <w:r>
        <w:t xml:space="preserve">The government is working on both a new long-term vision, possibly up to 2050, to succeed the Vision 20:2020. Similarly, a successor medium-term development plan is under preparation as lifespan of the ERGP 2017-2020 draws to its end. </w:t>
      </w:r>
    </w:p>
    <w:p w:rsidR="001C682A" w:rsidRDefault="00B03C38">
      <w:pPr>
        <w:spacing w:after="0" w:line="259" w:lineRule="auto"/>
        <w:ind w:left="218" w:firstLine="0"/>
        <w:jc w:val="left"/>
      </w:pPr>
      <w:r>
        <w:t xml:space="preserve"> </w:t>
      </w:r>
      <w:r>
        <w:tab/>
        <w:t xml:space="preserve"> </w:t>
      </w:r>
      <w:r>
        <w:br w:type="page"/>
      </w:r>
    </w:p>
    <w:p w:rsidR="001C682A" w:rsidRDefault="00B03C38">
      <w:pPr>
        <w:pStyle w:val="Heading1"/>
        <w:spacing w:after="0" w:line="259" w:lineRule="auto"/>
        <w:ind w:left="218" w:firstLine="0"/>
      </w:pPr>
      <w:bookmarkStart w:id="100" w:name="_Toc389446"/>
      <w:bookmarkStart w:id="101" w:name="_Hlk49584995"/>
      <w:r>
        <w:rPr>
          <w:rFonts w:ascii="Franklin Gothic Book" w:eastAsia="Franklin Gothic Book" w:hAnsi="Franklin Gothic Book" w:cs="Franklin Gothic Book"/>
          <w:color w:val="000000"/>
          <w:sz w:val="30"/>
        </w:rPr>
        <w:lastRenderedPageBreak/>
        <w:t xml:space="preserve">ANNEXURE 1: 2021 – 2023 MEDIUM TERM FISCAL FRAMEWORK </w:t>
      </w:r>
      <w:bookmarkEnd w:id="100"/>
    </w:p>
    <w:p w:rsidR="001C682A" w:rsidRDefault="00B03C38">
      <w:pPr>
        <w:spacing w:after="245" w:line="259" w:lineRule="auto"/>
        <w:ind w:left="190" w:firstLine="0"/>
        <w:jc w:val="left"/>
      </w:pPr>
      <w:r>
        <w:rPr>
          <w:rFonts w:ascii="Calibri" w:eastAsia="Calibri" w:hAnsi="Calibri" w:cs="Calibri"/>
          <w:noProof/>
        </w:rPr>
        <mc:AlternateContent>
          <mc:Choice Requires="wpg">
            <w:drawing>
              <wp:inline distT="0" distB="0" distL="0" distR="0">
                <wp:extent cx="5764658" cy="18288"/>
                <wp:effectExtent l="0" t="0" r="0" b="0"/>
                <wp:docPr id="372217" name="Group 372217"/>
                <wp:cNvGraphicFramePr/>
                <a:graphic xmlns:a="http://schemas.openxmlformats.org/drawingml/2006/main">
                  <a:graphicData uri="http://schemas.microsoft.com/office/word/2010/wordprocessingGroup">
                    <wpg:wgp>
                      <wpg:cNvGrpSpPr/>
                      <wpg:grpSpPr>
                        <a:xfrm>
                          <a:off x="0" y="0"/>
                          <a:ext cx="5764658" cy="18288"/>
                          <a:chOff x="0" y="0"/>
                          <a:chExt cx="5764658" cy="18288"/>
                        </a:xfrm>
                      </wpg:grpSpPr>
                      <wps:wsp>
                        <wps:cNvPr id="395847" name="Shape 395847"/>
                        <wps:cNvSpPr/>
                        <wps:spPr>
                          <a:xfrm>
                            <a:off x="0" y="0"/>
                            <a:ext cx="5764658" cy="18288"/>
                          </a:xfrm>
                          <a:custGeom>
                            <a:avLst/>
                            <a:gdLst/>
                            <a:ahLst/>
                            <a:cxnLst/>
                            <a:rect l="0" t="0" r="0" b="0"/>
                            <a:pathLst>
                              <a:path w="5764658" h="18288">
                                <a:moveTo>
                                  <a:pt x="0" y="0"/>
                                </a:moveTo>
                                <a:lnTo>
                                  <a:pt x="5764658" y="0"/>
                                </a:lnTo>
                                <a:lnTo>
                                  <a:pt x="5764658" y="18288"/>
                                </a:lnTo>
                                <a:lnTo>
                                  <a:pt x="0" y="1828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72217" style="width:453.91pt;height:1.44pt;mso-position-horizontal-relative:char;mso-position-vertical-relative:line" coordsize="57646,182">
                <v:shape id="Shape 395848" style="position:absolute;width:57646;height:182;left:0;top:0;" coordsize="5764658,18288" path="m0,0l5764658,0l5764658,18288l0,18288l0,0">
                  <v:stroke weight="0pt" endcap="flat" joinstyle="miter" miterlimit="10" on="false" color="#000000" opacity="0"/>
                  <v:fill on="true" color="#000080"/>
                </v:shape>
              </v:group>
            </w:pict>
          </mc:Fallback>
        </mc:AlternateContent>
      </w:r>
    </w:p>
    <w:tbl>
      <w:tblPr>
        <w:tblStyle w:val="TableGrid"/>
        <w:tblW w:w="9310" w:type="dxa"/>
        <w:tblInd w:w="224" w:type="dxa"/>
        <w:tblCellMar>
          <w:top w:w="13" w:type="dxa"/>
          <w:left w:w="20" w:type="dxa"/>
          <w:right w:w="60" w:type="dxa"/>
        </w:tblCellMar>
        <w:tblLook w:val="04A0" w:firstRow="1" w:lastRow="0" w:firstColumn="1" w:lastColumn="0" w:noHBand="0" w:noVBand="1"/>
      </w:tblPr>
      <w:tblGrid>
        <w:gridCol w:w="444"/>
        <w:gridCol w:w="15"/>
        <w:gridCol w:w="394"/>
        <w:gridCol w:w="25"/>
        <w:gridCol w:w="3084"/>
        <w:gridCol w:w="145"/>
        <w:gridCol w:w="999"/>
        <w:gridCol w:w="186"/>
        <w:gridCol w:w="959"/>
        <w:gridCol w:w="224"/>
        <w:gridCol w:w="959"/>
        <w:gridCol w:w="269"/>
        <w:gridCol w:w="915"/>
        <w:gridCol w:w="86"/>
        <w:gridCol w:w="238"/>
        <w:gridCol w:w="54"/>
        <w:gridCol w:w="14"/>
        <w:gridCol w:w="300"/>
      </w:tblGrid>
      <w:tr w:rsidR="001C682A">
        <w:trPr>
          <w:gridAfter w:val="2"/>
          <w:wAfter w:w="322" w:type="dxa"/>
          <w:trHeight w:val="254"/>
        </w:trPr>
        <w:tc>
          <w:tcPr>
            <w:tcW w:w="9310" w:type="dxa"/>
            <w:gridSpan w:val="16"/>
            <w:tcBorders>
              <w:top w:val="single" w:sz="2" w:space="0" w:color="0000D0"/>
              <w:left w:val="single" w:sz="2" w:space="0" w:color="0000D0"/>
              <w:bottom w:val="single" w:sz="2" w:space="0" w:color="000000"/>
              <w:right w:val="single" w:sz="5" w:space="0" w:color="0000D0"/>
            </w:tcBorders>
          </w:tcPr>
          <w:p w:rsidR="001C682A" w:rsidRDefault="00B03C38">
            <w:pPr>
              <w:spacing w:after="0" w:line="259" w:lineRule="auto"/>
              <w:ind w:left="43" w:firstLine="0"/>
              <w:jc w:val="center"/>
            </w:pPr>
            <w:r>
              <w:rPr>
                <w:rFonts w:ascii="Times New Roman" w:eastAsia="Times New Roman" w:hAnsi="Times New Roman" w:cs="Times New Roman"/>
                <w:b/>
                <w:sz w:val="18"/>
              </w:rPr>
              <w:t>2021-2023 Medium Term Fiscal Framework</w:t>
            </w:r>
          </w:p>
        </w:tc>
      </w:tr>
      <w:tr w:rsidR="001C682A">
        <w:trPr>
          <w:gridAfter w:val="2"/>
          <w:wAfter w:w="322" w:type="dxa"/>
          <w:trHeight w:val="557"/>
        </w:trPr>
        <w:tc>
          <w:tcPr>
            <w:tcW w:w="300" w:type="dxa"/>
            <w:tcBorders>
              <w:top w:val="single" w:sz="2" w:space="0" w:color="000000"/>
              <w:left w:val="single" w:sz="2" w:space="0" w:color="0000D0"/>
              <w:bottom w:val="single" w:sz="2" w:space="0" w:color="000000"/>
              <w:right w:val="single" w:sz="2" w:space="0" w:color="000000"/>
            </w:tcBorders>
          </w:tcPr>
          <w:p w:rsidR="001C682A" w:rsidRDefault="00B03C38">
            <w:pPr>
              <w:spacing w:after="0" w:line="259" w:lineRule="auto"/>
              <w:ind w:left="37" w:firstLine="0"/>
              <w:jc w:val="center"/>
            </w:pPr>
            <w:r>
              <w:rPr>
                <w:rFonts w:ascii="Times New Roman" w:eastAsia="Times New Roman" w:hAnsi="Times New Roman" w:cs="Times New Roman"/>
                <w:sz w:val="10"/>
              </w:rPr>
              <w:t>1</w:t>
            </w:r>
          </w:p>
        </w:tc>
        <w:tc>
          <w:tcPr>
            <w:tcW w:w="3868" w:type="dxa"/>
            <w:gridSpan w:val="4"/>
            <w:tcBorders>
              <w:top w:val="single" w:sz="2" w:space="0" w:color="000000"/>
              <w:left w:val="single" w:sz="2" w:space="0" w:color="000000"/>
              <w:bottom w:val="double" w:sz="22" w:space="0" w:color="000000"/>
              <w:right w:val="single" w:sz="2" w:space="0" w:color="000000"/>
            </w:tcBorders>
            <w:shd w:val="clear" w:color="auto" w:fill="000000"/>
            <w:vAlign w:val="center"/>
          </w:tcPr>
          <w:p w:rsidR="001C682A" w:rsidRDefault="00B03C38">
            <w:pPr>
              <w:spacing w:after="0" w:line="259" w:lineRule="auto"/>
              <w:ind w:left="37" w:firstLine="0"/>
              <w:jc w:val="center"/>
            </w:pPr>
            <w:r>
              <w:rPr>
                <w:rFonts w:ascii="Times New Roman" w:eastAsia="Times New Roman" w:hAnsi="Times New Roman" w:cs="Times New Roman"/>
                <w:b/>
                <w:color w:val="FFFFFF"/>
                <w:sz w:val="11"/>
              </w:rPr>
              <w:t>FISCAL ITEMS</w:t>
            </w:r>
          </w:p>
        </w:tc>
        <w:tc>
          <w:tcPr>
            <w:tcW w:w="1171" w:type="dxa"/>
            <w:gridSpan w:val="2"/>
            <w:tcBorders>
              <w:top w:val="single" w:sz="2" w:space="0" w:color="000000"/>
              <w:left w:val="single" w:sz="2" w:space="0" w:color="000000"/>
              <w:bottom w:val="single" w:sz="2" w:space="0" w:color="000000"/>
              <w:right w:val="single" w:sz="2" w:space="0" w:color="000000"/>
            </w:tcBorders>
            <w:shd w:val="clear" w:color="auto" w:fill="000000"/>
            <w:vAlign w:val="center"/>
          </w:tcPr>
          <w:p w:rsidR="001C682A" w:rsidRDefault="00B03C38">
            <w:pPr>
              <w:spacing w:after="0" w:line="259" w:lineRule="auto"/>
              <w:ind w:left="0" w:firstLine="0"/>
              <w:jc w:val="center"/>
            </w:pPr>
            <w:r>
              <w:rPr>
                <w:rFonts w:ascii="Times New Roman" w:eastAsia="Times New Roman" w:hAnsi="Times New Roman" w:cs="Times New Roman"/>
                <w:b/>
                <w:color w:val="FFFFFF"/>
                <w:sz w:val="11"/>
              </w:rPr>
              <w:t>2020 Revised Budget</w:t>
            </w:r>
          </w:p>
        </w:tc>
        <w:tc>
          <w:tcPr>
            <w:tcW w:w="1171" w:type="dxa"/>
            <w:gridSpan w:val="2"/>
            <w:tcBorders>
              <w:top w:val="single" w:sz="2" w:space="0" w:color="000000"/>
              <w:left w:val="single" w:sz="2" w:space="0" w:color="000000"/>
              <w:bottom w:val="single" w:sz="2" w:space="0" w:color="000000"/>
              <w:right w:val="single" w:sz="2" w:space="0" w:color="000000"/>
            </w:tcBorders>
            <w:shd w:val="clear" w:color="auto" w:fill="000000"/>
            <w:vAlign w:val="center"/>
          </w:tcPr>
          <w:p w:rsidR="001C682A" w:rsidRDefault="00B03C38">
            <w:pPr>
              <w:spacing w:after="0" w:line="259" w:lineRule="auto"/>
              <w:ind w:left="37" w:firstLine="0"/>
              <w:jc w:val="center"/>
            </w:pPr>
            <w:r>
              <w:rPr>
                <w:rFonts w:ascii="Times New Roman" w:eastAsia="Times New Roman" w:hAnsi="Times New Roman" w:cs="Times New Roman"/>
                <w:b/>
                <w:color w:val="FFFFFF"/>
                <w:sz w:val="11"/>
              </w:rPr>
              <w:t xml:space="preserve">2021 </w:t>
            </w:r>
            <w:proofErr w:type="spellStart"/>
            <w:r>
              <w:rPr>
                <w:rFonts w:ascii="Times New Roman" w:eastAsia="Times New Roman" w:hAnsi="Times New Roman" w:cs="Times New Roman"/>
                <w:b/>
                <w:color w:val="FFFFFF"/>
                <w:sz w:val="11"/>
              </w:rPr>
              <w:t>Proj</w:t>
            </w:r>
            <w:proofErr w:type="spellEnd"/>
            <w:r>
              <w:rPr>
                <w:rFonts w:ascii="Times New Roman" w:eastAsia="Times New Roman" w:hAnsi="Times New Roman" w:cs="Times New Roman"/>
                <w:b/>
                <w:color w:val="FFFFFF"/>
                <w:sz w:val="11"/>
              </w:rPr>
              <w:t>.</w:t>
            </w:r>
          </w:p>
        </w:tc>
        <w:tc>
          <w:tcPr>
            <w:tcW w:w="1217" w:type="dxa"/>
            <w:gridSpan w:val="2"/>
            <w:tcBorders>
              <w:top w:val="single" w:sz="2" w:space="0" w:color="000000"/>
              <w:left w:val="single" w:sz="2" w:space="0" w:color="000000"/>
              <w:bottom w:val="single" w:sz="2" w:space="0" w:color="000000"/>
              <w:right w:val="single" w:sz="2" w:space="0" w:color="000000"/>
            </w:tcBorders>
            <w:shd w:val="clear" w:color="auto" w:fill="000000"/>
            <w:vAlign w:val="center"/>
          </w:tcPr>
          <w:p w:rsidR="001C682A" w:rsidRDefault="00B03C38">
            <w:pPr>
              <w:spacing w:after="0" w:line="259" w:lineRule="auto"/>
              <w:ind w:left="37" w:firstLine="0"/>
              <w:jc w:val="center"/>
            </w:pPr>
            <w:r>
              <w:rPr>
                <w:rFonts w:ascii="Times New Roman" w:eastAsia="Times New Roman" w:hAnsi="Times New Roman" w:cs="Times New Roman"/>
                <w:b/>
                <w:color w:val="FFFFFF"/>
                <w:sz w:val="11"/>
              </w:rPr>
              <w:t xml:space="preserve">2022 </w:t>
            </w:r>
            <w:proofErr w:type="spellStart"/>
            <w:r>
              <w:rPr>
                <w:rFonts w:ascii="Times New Roman" w:eastAsia="Times New Roman" w:hAnsi="Times New Roman" w:cs="Times New Roman"/>
                <w:b/>
                <w:color w:val="FFFFFF"/>
                <w:sz w:val="11"/>
              </w:rPr>
              <w:t>Proj</w:t>
            </w:r>
            <w:proofErr w:type="spellEnd"/>
            <w:r>
              <w:rPr>
                <w:rFonts w:ascii="Times New Roman" w:eastAsia="Times New Roman" w:hAnsi="Times New Roman" w:cs="Times New Roman"/>
                <w:b/>
                <w:color w:val="FFFFFF"/>
                <w:sz w:val="11"/>
              </w:rPr>
              <w:t>.</w:t>
            </w:r>
          </w:p>
        </w:tc>
        <w:tc>
          <w:tcPr>
            <w:tcW w:w="1218" w:type="dxa"/>
            <w:gridSpan w:val="2"/>
            <w:tcBorders>
              <w:top w:val="single" w:sz="2" w:space="0" w:color="000000"/>
              <w:left w:val="single" w:sz="2" w:space="0" w:color="000000"/>
              <w:bottom w:val="single" w:sz="2" w:space="0" w:color="000000"/>
              <w:right w:val="single" w:sz="2" w:space="0" w:color="000000"/>
            </w:tcBorders>
            <w:shd w:val="clear" w:color="auto" w:fill="000000"/>
            <w:vAlign w:val="center"/>
          </w:tcPr>
          <w:p w:rsidR="001C682A" w:rsidRDefault="00B03C38">
            <w:pPr>
              <w:spacing w:after="0" w:line="259" w:lineRule="auto"/>
              <w:ind w:left="36" w:firstLine="0"/>
              <w:jc w:val="center"/>
            </w:pPr>
            <w:r>
              <w:rPr>
                <w:rFonts w:ascii="Times New Roman" w:eastAsia="Times New Roman" w:hAnsi="Times New Roman" w:cs="Times New Roman"/>
                <w:b/>
                <w:color w:val="FFFFFF"/>
                <w:sz w:val="11"/>
              </w:rPr>
              <w:t xml:space="preserve">2023 </w:t>
            </w:r>
            <w:proofErr w:type="spellStart"/>
            <w:r>
              <w:rPr>
                <w:rFonts w:ascii="Times New Roman" w:eastAsia="Times New Roman" w:hAnsi="Times New Roman" w:cs="Times New Roman"/>
                <w:b/>
                <w:color w:val="FFFFFF"/>
                <w:sz w:val="11"/>
              </w:rPr>
              <w:t>Proj</w:t>
            </w:r>
            <w:proofErr w:type="spellEnd"/>
            <w:r>
              <w:rPr>
                <w:rFonts w:ascii="Times New Roman" w:eastAsia="Times New Roman" w:hAnsi="Times New Roman" w:cs="Times New Roman"/>
                <w:b/>
                <w:color w:val="FFFFFF"/>
                <w:sz w:val="11"/>
              </w:rPr>
              <w:t>.</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47" w:firstLine="0"/>
              <w:jc w:val="center"/>
            </w:pPr>
            <w:r>
              <w:rPr>
                <w:rFonts w:ascii="Times New Roman" w:eastAsia="Times New Roman" w:hAnsi="Times New Roman" w:cs="Times New Roman"/>
                <w:sz w:val="10"/>
              </w:rPr>
              <w:t>1</w:t>
            </w:r>
          </w:p>
        </w:tc>
      </w:tr>
      <w:tr w:rsidR="001C682A">
        <w:trPr>
          <w:gridAfter w:val="2"/>
          <w:wAfter w:w="322" w:type="dxa"/>
          <w:trHeight w:val="32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37" w:firstLine="0"/>
              <w:jc w:val="center"/>
            </w:pPr>
            <w:r>
              <w:rPr>
                <w:rFonts w:ascii="Times New Roman" w:eastAsia="Times New Roman" w:hAnsi="Times New Roman" w:cs="Times New Roman"/>
                <w:sz w:val="10"/>
              </w:rPr>
              <w:t>2</w:t>
            </w:r>
          </w:p>
        </w:tc>
        <w:tc>
          <w:tcPr>
            <w:tcW w:w="3868" w:type="dxa"/>
            <w:gridSpan w:val="4"/>
            <w:tcBorders>
              <w:top w:val="double" w:sz="2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pPr>
            <w:r>
              <w:rPr>
                <w:rFonts w:ascii="Times New Roman" w:eastAsia="Times New Roman" w:hAnsi="Times New Roman" w:cs="Times New Roman"/>
                <w:b/>
                <w:sz w:val="10"/>
              </w:rPr>
              <w:t xml:space="preserve">Budget Oil Production Volume Net Incremental Oil </w:t>
            </w:r>
            <w:proofErr w:type="spellStart"/>
            <w:r>
              <w:rPr>
                <w:rFonts w:ascii="Times New Roman" w:eastAsia="Times New Roman" w:hAnsi="Times New Roman" w:cs="Times New Roman"/>
                <w:b/>
                <w:sz w:val="10"/>
              </w:rPr>
              <w:t>Prodution</w:t>
            </w:r>
            <w:proofErr w:type="spellEnd"/>
            <w:r>
              <w:rPr>
                <w:rFonts w:ascii="Times New Roman" w:eastAsia="Times New Roman" w:hAnsi="Times New Roman" w:cs="Times New Roman"/>
                <w:b/>
                <w:sz w:val="10"/>
              </w:rPr>
              <w:t xml:space="preserve"> for Repayment Arrears (</w:t>
            </w:r>
            <w:proofErr w:type="spellStart"/>
            <w:r>
              <w:rPr>
                <w:rFonts w:ascii="Times New Roman" w:eastAsia="Times New Roman" w:hAnsi="Times New Roman" w:cs="Times New Roman"/>
                <w:b/>
                <w:sz w:val="10"/>
              </w:rPr>
              <w:t>mbpd</w:t>
            </w:r>
            <w:proofErr w:type="spellEnd"/>
            <w:r>
              <w:rPr>
                <w:rFonts w:ascii="Times New Roman" w:eastAsia="Times New Roman" w:hAnsi="Times New Roman" w:cs="Times New Roman"/>
                <w:b/>
                <w:sz w:val="10"/>
              </w:rPr>
              <w:t>)</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b/>
                <w:sz w:val="10"/>
              </w:rPr>
              <w:t>1.80</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b/>
                <w:sz w:val="10"/>
              </w:rPr>
              <w:t>1.86</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b/>
                <w:sz w:val="10"/>
              </w:rPr>
              <w:t>2.09</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right="1" w:firstLine="0"/>
              <w:jc w:val="right"/>
            </w:pPr>
            <w:r>
              <w:rPr>
                <w:rFonts w:ascii="Times New Roman" w:eastAsia="Times New Roman" w:hAnsi="Times New Roman" w:cs="Times New Roman"/>
                <w:b/>
                <w:sz w:val="10"/>
              </w:rPr>
              <w:t>2.38</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47" w:firstLine="0"/>
              <w:jc w:val="center"/>
            </w:pPr>
            <w:r>
              <w:rPr>
                <w:rFonts w:ascii="Times New Roman" w:eastAsia="Times New Roman" w:hAnsi="Times New Roman" w:cs="Times New Roman"/>
                <w:sz w:val="10"/>
              </w:rPr>
              <w:t>2</w:t>
            </w:r>
          </w:p>
        </w:tc>
      </w:tr>
      <w:tr w:rsidR="001C682A">
        <w:trPr>
          <w:gridAfter w:val="2"/>
          <w:wAfter w:w="322" w:type="dxa"/>
          <w:trHeight w:val="153"/>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37" w:firstLine="0"/>
              <w:jc w:val="center"/>
            </w:pPr>
            <w:r>
              <w:rPr>
                <w:rFonts w:ascii="Times New Roman" w:eastAsia="Times New Roman" w:hAnsi="Times New Roman" w:cs="Times New Roman"/>
                <w:sz w:val="10"/>
              </w:rPr>
              <w:t>3</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0"/>
              </w:rPr>
              <w:t>Projected Budget Benchmark Price (US$ per barrel)</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b/>
                <w:sz w:val="10"/>
              </w:rPr>
              <w:t>28.00</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b/>
                <w:sz w:val="10"/>
              </w:rPr>
              <w:t>40.00</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b/>
                <w:sz w:val="10"/>
              </w:rPr>
              <w:t>40.00</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right="1" w:firstLine="0"/>
              <w:jc w:val="right"/>
            </w:pPr>
            <w:r>
              <w:rPr>
                <w:rFonts w:ascii="Times New Roman" w:eastAsia="Times New Roman" w:hAnsi="Times New Roman" w:cs="Times New Roman"/>
                <w:b/>
                <w:sz w:val="10"/>
              </w:rPr>
              <w:t>40.00</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47" w:firstLine="0"/>
              <w:jc w:val="center"/>
            </w:pPr>
            <w:r>
              <w:rPr>
                <w:rFonts w:ascii="Times New Roman" w:eastAsia="Times New Roman" w:hAnsi="Times New Roman" w:cs="Times New Roman"/>
                <w:sz w:val="10"/>
              </w:rPr>
              <w:t>3</w:t>
            </w:r>
          </w:p>
        </w:tc>
      </w:tr>
      <w:tr w:rsidR="001C682A">
        <w:trPr>
          <w:gridAfter w:val="2"/>
          <w:wAfter w:w="322" w:type="dxa"/>
          <w:trHeight w:val="13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37" w:firstLine="0"/>
              <w:jc w:val="center"/>
            </w:pPr>
            <w:r>
              <w:rPr>
                <w:rFonts w:ascii="Times New Roman" w:eastAsia="Times New Roman" w:hAnsi="Times New Roman" w:cs="Times New Roman"/>
                <w:sz w:val="10"/>
              </w:rPr>
              <w:t>4</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0"/>
              </w:rPr>
              <w:t>Average Exchange Rate (N/US$)</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b/>
                <w:sz w:val="10"/>
              </w:rPr>
              <w:t>360.0</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b/>
                <w:sz w:val="10"/>
              </w:rPr>
              <w:t>360.0</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b/>
                <w:sz w:val="10"/>
              </w:rPr>
              <w:t>360.0</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right="1" w:firstLine="0"/>
              <w:jc w:val="right"/>
            </w:pPr>
            <w:r>
              <w:rPr>
                <w:rFonts w:ascii="Times New Roman" w:eastAsia="Times New Roman" w:hAnsi="Times New Roman" w:cs="Times New Roman"/>
                <w:b/>
                <w:sz w:val="10"/>
              </w:rPr>
              <w:t>360.0</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47" w:firstLine="0"/>
              <w:jc w:val="center"/>
            </w:pPr>
            <w:r>
              <w:rPr>
                <w:rFonts w:ascii="Times New Roman" w:eastAsia="Times New Roman" w:hAnsi="Times New Roman" w:cs="Times New Roman"/>
                <w:sz w:val="10"/>
              </w:rPr>
              <w:t>4</w:t>
            </w:r>
          </w:p>
        </w:tc>
      </w:tr>
      <w:tr w:rsidR="001C682A">
        <w:trPr>
          <w:gridAfter w:val="2"/>
          <w:wAfter w:w="322" w:type="dxa"/>
          <w:trHeight w:val="133"/>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37" w:firstLine="0"/>
              <w:jc w:val="center"/>
            </w:pPr>
            <w:r>
              <w:rPr>
                <w:rFonts w:ascii="Times New Roman" w:eastAsia="Times New Roman" w:hAnsi="Times New Roman" w:cs="Times New Roman"/>
                <w:sz w:val="10"/>
              </w:rPr>
              <w:t>5</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0"/>
              </w:rPr>
              <w:t>Oil production (</w:t>
            </w:r>
            <w:proofErr w:type="spellStart"/>
            <w:r>
              <w:rPr>
                <w:rFonts w:ascii="Times New Roman" w:eastAsia="Times New Roman" w:hAnsi="Times New Roman" w:cs="Times New Roman"/>
                <w:b/>
                <w:sz w:val="10"/>
              </w:rPr>
              <w:t>mbpd</w:t>
            </w:r>
            <w:proofErr w:type="spellEnd"/>
            <w:r>
              <w:rPr>
                <w:rFonts w:ascii="Times New Roman" w:eastAsia="Times New Roman" w:hAnsi="Times New Roman" w:cs="Times New Roman"/>
                <w:b/>
                <w:sz w:val="10"/>
              </w:rPr>
              <w:t>)</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47" w:firstLine="0"/>
              <w:jc w:val="center"/>
            </w:pPr>
            <w:r>
              <w:rPr>
                <w:rFonts w:ascii="Times New Roman" w:eastAsia="Times New Roman" w:hAnsi="Times New Roman" w:cs="Times New Roman"/>
                <w:sz w:val="10"/>
              </w:rPr>
              <w:t>5</w:t>
            </w:r>
          </w:p>
        </w:tc>
      </w:tr>
      <w:tr w:rsidR="001C682A">
        <w:trPr>
          <w:gridAfter w:val="2"/>
          <w:wAfter w:w="322" w:type="dxa"/>
          <w:trHeight w:val="123"/>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37" w:firstLine="0"/>
              <w:jc w:val="center"/>
            </w:pPr>
            <w:r>
              <w:rPr>
                <w:rFonts w:ascii="Times New Roman" w:eastAsia="Times New Roman" w:hAnsi="Times New Roman" w:cs="Times New Roman"/>
                <w:sz w:val="10"/>
              </w:rPr>
              <w:t>6</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Joint Ventures</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0"/>
              </w:rPr>
              <w:t>0.707</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0"/>
              </w:rPr>
              <w:t>0.716</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0"/>
              </w:rPr>
              <w:t>0.747</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right="1" w:firstLine="0"/>
              <w:jc w:val="right"/>
            </w:pPr>
            <w:r>
              <w:rPr>
                <w:rFonts w:ascii="Times New Roman" w:eastAsia="Times New Roman" w:hAnsi="Times New Roman" w:cs="Times New Roman"/>
                <w:sz w:val="10"/>
              </w:rPr>
              <w:t>0.804</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47" w:firstLine="0"/>
              <w:jc w:val="center"/>
            </w:pPr>
            <w:r>
              <w:rPr>
                <w:rFonts w:ascii="Times New Roman" w:eastAsia="Times New Roman" w:hAnsi="Times New Roman" w:cs="Times New Roman"/>
                <w:sz w:val="10"/>
              </w:rPr>
              <w:t>6</w:t>
            </w:r>
          </w:p>
        </w:tc>
      </w:tr>
      <w:tr w:rsidR="001C682A">
        <w:trPr>
          <w:gridAfter w:val="2"/>
          <w:wAfter w:w="322" w:type="dxa"/>
          <w:trHeight w:val="13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37" w:firstLine="0"/>
              <w:jc w:val="center"/>
            </w:pPr>
            <w:r>
              <w:rPr>
                <w:rFonts w:ascii="Times New Roman" w:eastAsia="Times New Roman" w:hAnsi="Times New Roman" w:cs="Times New Roman"/>
                <w:sz w:val="10"/>
              </w:rPr>
              <w:t>7</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Modified Carry Arrangement</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0"/>
              </w:rPr>
              <w:t>0.055</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0"/>
              </w:rPr>
              <w:t>0.067</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0"/>
              </w:rPr>
              <w:t>0.033</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right="1" w:firstLine="0"/>
              <w:jc w:val="right"/>
            </w:pPr>
            <w:r>
              <w:rPr>
                <w:rFonts w:ascii="Times New Roman" w:eastAsia="Times New Roman" w:hAnsi="Times New Roman" w:cs="Times New Roman"/>
                <w:sz w:val="10"/>
              </w:rPr>
              <w:t>0.038</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47" w:firstLine="0"/>
              <w:jc w:val="center"/>
            </w:pPr>
            <w:r>
              <w:rPr>
                <w:rFonts w:ascii="Times New Roman" w:eastAsia="Times New Roman" w:hAnsi="Times New Roman" w:cs="Times New Roman"/>
                <w:sz w:val="10"/>
              </w:rPr>
              <w:t>7</w:t>
            </w:r>
          </w:p>
        </w:tc>
      </w:tr>
      <w:tr w:rsidR="001C682A">
        <w:trPr>
          <w:gridAfter w:val="2"/>
          <w:wAfter w:w="322" w:type="dxa"/>
          <w:trHeight w:val="139"/>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37" w:firstLine="0"/>
              <w:jc w:val="center"/>
            </w:pPr>
            <w:r>
              <w:rPr>
                <w:rFonts w:ascii="Times New Roman" w:eastAsia="Times New Roman" w:hAnsi="Times New Roman" w:cs="Times New Roman"/>
                <w:sz w:val="10"/>
              </w:rPr>
              <w:t>8</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External Financing</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0"/>
              </w:rPr>
              <w:t>0.041</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0"/>
              </w:rPr>
              <w:t>0.041</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0"/>
              </w:rPr>
              <w:t>0.047</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right="1" w:firstLine="0"/>
              <w:jc w:val="right"/>
            </w:pPr>
            <w:r>
              <w:rPr>
                <w:rFonts w:ascii="Times New Roman" w:eastAsia="Times New Roman" w:hAnsi="Times New Roman" w:cs="Times New Roman"/>
                <w:sz w:val="10"/>
              </w:rPr>
              <w:t>0.060</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47" w:firstLine="0"/>
              <w:jc w:val="center"/>
            </w:pPr>
            <w:r>
              <w:rPr>
                <w:rFonts w:ascii="Times New Roman" w:eastAsia="Times New Roman" w:hAnsi="Times New Roman" w:cs="Times New Roman"/>
                <w:sz w:val="10"/>
              </w:rPr>
              <w:t>8</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37" w:firstLine="0"/>
              <w:jc w:val="center"/>
            </w:pPr>
            <w:r>
              <w:rPr>
                <w:rFonts w:ascii="Times New Roman" w:eastAsia="Times New Roman" w:hAnsi="Times New Roman" w:cs="Times New Roman"/>
                <w:sz w:val="10"/>
              </w:rPr>
              <w:t>9</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Production Sharing Contracts</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0"/>
              </w:rPr>
              <w:t>0.734</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0"/>
              </w:rPr>
              <w:t>0.812</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0"/>
              </w:rPr>
              <w:t>0.754</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right="1" w:firstLine="0"/>
              <w:jc w:val="right"/>
            </w:pPr>
            <w:r>
              <w:rPr>
                <w:rFonts w:ascii="Times New Roman" w:eastAsia="Times New Roman" w:hAnsi="Times New Roman" w:cs="Times New Roman"/>
                <w:sz w:val="10"/>
              </w:rPr>
              <w:t>0.800</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47" w:firstLine="0"/>
              <w:jc w:val="center"/>
            </w:pPr>
            <w:r>
              <w:rPr>
                <w:rFonts w:ascii="Times New Roman" w:eastAsia="Times New Roman" w:hAnsi="Times New Roman" w:cs="Times New Roman"/>
                <w:sz w:val="10"/>
              </w:rPr>
              <w:t>9</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10</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 xml:space="preserve">Independents </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0"/>
              </w:rPr>
              <w:t>0.225</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0"/>
              </w:rPr>
              <w:t>0.190</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0"/>
              </w:rPr>
              <w:t>0.456</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right="1" w:firstLine="0"/>
              <w:jc w:val="right"/>
            </w:pPr>
            <w:r>
              <w:rPr>
                <w:rFonts w:ascii="Times New Roman" w:eastAsia="Times New Roman" w:hAnsi="Times New Roman" w:cs="Times New Roman"/>
                <w:sz w:val="10"/>
              </w:rPr>
              <w:t>0.627</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10</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11</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Service Contracts</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0"/>
              </w:rPr>
              <w:t>0.003</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0"/>
              </w:rPr>
              <w:t>0.003</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0"/>
              </w:rPr>
              <w:t>0.002</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right="1" w:firstLine="0"/>
              <w:jc w:val="right"/>
            </w:pPr>
            <w:r>
              <w:rPr>
                <w:rFonts w:ascii="Times New Roman" w:eastAsia="Times New Roman" w:hAnsi="Times New Roman" w:cs="Times New Roman"/>
                <w:sz w:val="10"/>
              </w:rPr>
              <w:t>0.002</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11</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12</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Marginal Fields</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0"/>
              </w:rPr>
              <w:t>0.035</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0"/>
              </w:rPr>
              <w:t>0.035</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0"/>
              </w:rPr>
              <w:t>0.050</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right="1" w:firstLine="0"/>
              <w:jc w:val="right"/>
            </w:pPr>
            <w:r>
              <w:rPr>
                <w:rFonts w:ascii="Times New Roman" w:eastAsia="Times New Roman" w:hAnsi="Times New Roman" w:cs="Times New Roman"/>
                <w:sz w:val="10"/>
              </w:rPr>
              <w:t>0.051</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12</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13</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Repayment Arrears*</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0"/>
              </w:rPr>
              <w:t>0.080</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0"/>
              </w:rPr>
              <w:t>0.090</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0"/>
              </w:rPr>
              <w:t>0.116</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right="1" w:firstLine="0"/>
              <w:jc w:val="right"/>
            </w:pPr>
            <w:r>
              <w:rPr>
                <w:rFonts w:ascii="Times New Roman" w:eastAsia="Times New Roman" w:hAnsi="Times New Roman" w:cs="Times New Roman"/>
                <w:sz w:val="10"/>
              </w:rPr>
              <w:t>0.119</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13</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14</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14</w:t>
            </w:r>
          </w:p>
        </w:tc>
      </w:tr>
      <w:tr w:rsidR="001C682A">
        <w:trPr>
          <w:gridAfter w:val="2"/>
          <w:wAfter w:w="322" w:type="dxa"/>
          <w:trHeight w:val="178"/>
        </w:trPr>
        <w:tc>
          <w:tcPr>
            <w:tcW w:w="300" w:type="dxa"/>
            <w:tcBorders>
              <w:top w:val="single" w:sz="2" w:space="0" w:color="000000"/>
              <w:left w:val="single" w:sz="2" w:space="0" w:color="0000D0"/>
              <w:bottom w:val="single" w:sz="2" w:space="0" w:color="000000"/>
              <w:right w:val="single" w:sz="2" w:space="0" w:color="000000"/>
            </w:tcBorders>
          </w:tcPr>
          <w:p w:rsidR="001C682A" w:rsidRDefault="00B03C38">
            <w:pPr>
              <w:spacing w:after="0" w:line="259" w:lineRule="auto"/>
              <w:ind w:left="71" w:firstLine="0"/>
              <w:jc w:val="left"/>
            </w:pPr>
            <w:r>
              <w:rPr>
                <w:rFonts w:ascii="Times New Roman" w:eastAsia="Times New Roman" w:hAnsi="Times New Roman" w:cs="Times New Roman"/>
                <w:sz w:val="10"/>
              </w:rPr>
              <w:t>15</w:t>
            </w:r>
          </w:p>
        </w:tc>
        <w:tc>
          <w:tcPr>
            <w:tcW w:w="3868" w:type="dxa"/>
            <w:gridSpan w:val="4"/>
            <w:tcBorders>
              <w:top w:val="single" w:sz="2" w:space="0" w:color="000000"/>
              <w:left w:val="single" w:sz="2" w:space="0" w:color="000000"/>
              <w:bottom w:val="single" w:sz="2" w:space="0" w:color="000000"/>
              <w:right w:val="single" w:sz="2" w:space="0" w:color="000000"/>
            </w:tcBorders>
            <w:shd w:val="clear" w:color="auto" w:fill="000000"/>
          </w:tcPr>
          <w:p w:rsidR="001C682A" w:rsidRDefault="00B03C38">
            <w:pPr>
              <w:spacing w:after="0" w:line="259" w:lineRule="auto"/>
              <w:ind w:left="0" w:firstLine="0"/>
              <w:jc w:val="left"/>
            </w:pPr>
            <w:r>
              <w:rPr>
                <w:rFonts w:ascii="Times New Roman" w:eastAsia="Times New Roman" w:hAnsi="Times New Roman" w:cs="Times New Roman"/>
                <w:b/>
                <w:color w:val="FFFFFF"/>
                <w:sz w:val="11"/>
              </w:rPr>
              <w:t>FEDERALLY COLLECTIBLE REVENUE</w:t>
            </w:r>
          </w:p>
        </w:tc>
        <w:tc>
          <w:tcPr>
            <w:tcW w:w="1171" w:type="dxa"/>
            <w:gridSpan w:val="2"/>
            <w:tcBorders>
              <w:top w:val="single" w:sz="2" w:space="0" w:color="000000"/>
              <w:left w:val="single" w:sz="2" w:space="0" w:color="000000"/>
              <w:bottom w:val="single" w:sz="2" w:space="0" w:color="000000"/>
              <w:right w:val="single" w:sz="2" w:space="0" w:color="000000"/>
            </w:tcBorders>
            <w:shd w:val="clear" w:color="auto" w:fill="000000"/>
          </w:tcPr>
          <w:p w:rsidR="001C682A" w:rsidRDefault="00B03C38">
            <w:pPr>
              <w:spacing w:after="0" w:line="259" w:lineRule="auto"/>
              <w:ind w:left="0" w:right="15" w:firstLine="0"/>
              <w:jc w:val="center"/>
            </w:pPr>
            <w:r>
              <w:rPr>
                <w:rFonts w:ascii="Times New Roman" w:eastAsia="Times New Roman" w:hAnsi="Times New Roman" w:cs="Times New Roman"/>
                <w:b/>
                <w:color w:val="FFFFFF"/>
                <w:sz w:val="10"/>
              </w:rPr>
              <w:t xml:space="preserve">N  </w:t>
            </w:r>
          </w:p>
        </w:tc>
        <w:tc>
          <w:tcPr>
            <w:tcW w:w="1171" w:type="dxa"/>
            <w:gridSpan w:val="2"/>
            <w:tcBorders>
              <w:top w:val="single" w:sz="2" w:space="0" w:color="000000"/>
              <w:left w:val="single" w:sz="2" w:space="0" w:color="000000"/>
              <w:bottom w:val="single" w:sz="2" w:space="0" w:color="000000"/>
              <w:right w:val="single" w:sz="2" w:space="0" w:color="000000"/>
            </w:tcBorders>
            <w:shd w:val="clear" w:color="auto" w:fill="000000"/>
          </w:tcPr>
          <w:p w:rsidR="001C682A" w:rsidRDefault="00B03C38">
            <w:pPr>
              <w:spacing w:after="0" w:line="259" w:lineRule="auto"/>
              <w:ind w:left="0" w:right="15" w:firstLine="0"/>
              <w:jc w:val="center"/>
            </w:pPr>
            <w:r>
              <w:rPr>
                <w:rFonts w:ascii="Times New Roman" w:eastAsia="Times New Roman" w:hAnsi="Times New Roman" w:cs="Times New Roman"/>
                <w:b/>
                <w:color w:val="FFFFFF"/>
                <w:sz w:val="10"/>
              </w:rPr>
              <w:t xml:space="preserve">N  </w:t>
            </w:r>
          </w:p>
        </w:tc>
        <w:tc>
          <w:tcPr>
            <w:tcW w:w="1217" w:type="dxa"/>
            <w:gridSpan w:val="2"/>
            <w:tcBorders>
              <w:top w:val="single" w:sz="2" w:space="0" w:color="000000"/>
              <w:left w:val="single" w:sz="2" w:space="0" w:color="000000"/>
              <w:bottom w:val="single" w:sz="2" w:space="0" w:color="000000"/>
              <w:right w:val="single" w:sz="2" w:space="0" w:color="000000"/>
            </w:tcBorders>
            <w:shd w:val="clear" w:color="auto" w:fill="000000"/>
          </w:tcPr>
          <w:p w:rsidR="001C682A" w:rsidRDefault="00B03C38">
            <w:pPr>
              <w:spacing w:after="0" w:line="259" w:lineRule="auto"/>
              <w:ind w:left="0" w:right="15" w:firstLine="0"/>
              <w:jc w:val="center"/>
            </w:pPr>
            <w:r>
              <w:rPr>
                <w:rFonts w:ascii="Times New Roman" w:eastAsia="Times New Roman" w:hAnsi="Times New Roman" w:cs="Times New Roman"/>
                <w:b/>
                <w:color w:val="FFFFFF"/>
                <w:sz w:val="10"/>
              </w:rPr>
              <w:t xml:space="preserve">N  </w:t>
            </w:r>
          </w:p>
        </w:tc>
        <w:tc>
          <w:tcPr>
            <w:tcW w:w="1218" w:type="dxa"/>
            <w:gridSpan w:val="2"/>
            <w:tcBorders>
              <w:top w:val="single" w:sz="2" w:space="0" w:color="000000"/>
              <w:left w:val="single" w:sz="2" w:space="0" w:color="000000"/>
              <w:bottom w:val="single" w:sz="2" w:space="0" w:color="000000"/>
              <w:right w:val="single" w:sz="2" w:space="0" w:color="000000"/>
            </w:tcBorders>
            <w:shd w:val="clear" w:color="auto" w:fill="000000"/>
          </w:tcPr>
          <w:p w:rsidR="001C682A" w:rsidRDefault="00B03C38">
            <w:pPr>
              <w:spacing w:after="0" w:line="259" w:lineRule="auto"/>
              <w:ind w:left="0" w:right="15" w:firstLine="0"/>
              <w:jc w:val="center"/>
            </w:pPr>
            <w:r>
              <w:rPr>
                <w:rFonts w:ascii="Times New Roman" w:eastAsia="Times New Roman" w:hAnsi="Times New Roman" w:cs="Times New Roman"/>
                <w:b/>
                <w:color w:val="FFFFFF"/>
                <w:sz w:val="10"/>
              </w:rPr>
              <w:t xml:space="preserve">N  </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15</w:t>
            </w:r>
          </w:p>
        </w:tc>
      </w:tr>
      <w:tr w:rsidR="001C682A">
        <w:trPr>
          <w:gridAfter w:val="2"/>
          <w:wAfter w:w="322" w:type="dxa"/>
          <w:trHeight w:val="133"/>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16</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0"/>
              </w:rPr>
              <w:t>Gross Minerals Revenue</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63" w:firstLine="0"/>
              <w:jc w:val="left"/>
            </w:pPr>
            <w:r>
              <w:rPr>
                <w:rFonts w:ascii="Times New Roman" w:eastAsia="Times New Roman" w:hAnsi="Times New Roman" w:cs="Times New Roman"/>
                <w:b/>
                <w:sz w:val="10"/>
              </w:rPr>
              <w:t xml:space="preserve">       3,549,154,361,474</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63" w:firstLine="0"/>
              <w:jc w:val="left"/>
            </w:pPr>
            <w:r>
              <w:rPr>
                <w:rFonts w:ascii="Times New Roman" w:eastAsia="Times New Roman" w:hAnsi="Times New Roman" w:cs="Times New Roman"/>
                <w:b/>
                <w:sz w:val="10"/>
              </w:rPr>
              <w:t xml:space="preserve">       5,669,145,887,355</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6,122,425,740,058</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6,663,547,962,396</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16</w:t>
            </w:r>
          </w:p>
        </w:tc>
      </w:tr>
      <w:tr w:rsidR="001C682A">
        <w:trPr>
          <w:gridAfter w:val="2"/>
          <w:wAfter w:w="322" w:type="dxa"/>
          <w:trHeight w:val="153"/>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17</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Gross Oil Revenue (See Line Item 84)</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63" w:firstLine="0"/>
              <w:jc w:val="left"/>
            </w:pPr>
            <w:r>
              <w:rPr>
                <w:rFonts w:ascii="Times New Roman" w:eastAsia="Times New Roman" w:hAnsi="Times New Roman" w:cs="Times New Roman"/>
                <w:sz w:val="10"/>
              </w:rPr>
              <w:t xml:space="preserve">       3,033,363,682,134</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63" w:firstLine="0"/>
              <w:jc w:val="left"/>
            </w:pPr>
            <w:r>
              <w:rPr>
                <w:rFonts w:ascii="Times New Roman" w:eastAsia="Times New Roman" w:hAnsi="Times New Roman" w:cs="Times New Roman"/>
                <w:sz w:val="10"/>
              </w:rPr>
              <w:t xml:space="preserve">       5,121,365,644,379</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5,915,121,505,768</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6,486,392,598,389</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17</w:t>
            </w:r>
          </w:p>
        </w:tc>
      </w:tr>
      <w:tr w:rsidR="001C682A">
        <w:trPr>
          <w:gridAfter w:val="2"/>
          <w:wAfter w:w="322" w:type="dxa"/>
          <w:trHeight w:val="153"/>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18</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Dividend Payment (NLNG) (See Line Item 107)</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63" w:firstLine="0"/>
              <w:jc w:val="left"/>
            </w:pPr>
            <w:r>
              <w:rPr>
                <w:rFonts w:ascii="Times New Roman" w:eastAsia="Times New Roman" w:hAnsi="Times New Roman" w:cs="Times New Roman"/>
                <w:sz w:val="10"/>
              </w:rPr>
              <w:t xml:space="preserve">          160,754,400,000</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63" w:firstLine="0"/>
              <w:jc w:val="left"/>
            </w:pPr>
            <w:r>
              <w:rPr>
                <w:rFonts w:ascii="Times New Roman" w:eastAsia="Times New Roman" w:hAnsi="Times New Roman" w:cs="Times New Roman"/>
                <w:sz w:val="10"/>
              </w:rPr>
              <w:t xml:space="preserve">          198,086,400,000</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164,484,000,000</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169,516,800,000</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18</w:t>
            </w:r>
          </w:p>
        </w:tc>
      </w:tr>
      <w:tr w:rsidR="001C682A">
        <w:trPr>
          <w:gridAfter w:val="2"/>
          <w:wAfter w:w="322" w:type="dxa"/>
          <w:trHeight w:val="153"/>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19</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Solid Minerals (NLNG) (See Line Item 112)</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63" w:firstLine="0"/>
              <w:jc w:val="center"/>
            </w:pPr>
            <w:r>
              <w:rPr>
                <w:rFonts w:ascii="Times New Roman" w:eastAsia="Times New Roman" w:hAnsi="Times New Roman" w:cs="Times New Roman"/>
                <w:sz w:val="10"/>
              </w:rPr>
              <w:t xml:space="preserve">              4,515,225,139</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63" w:firstLine="0"/>
              <w:jc w:val="center"/>
            </w:pPr>
            <w:r>
              <w:rPr>
                <w:rFonts w:ascii="Times New Roman" w:eastAsia="Times New Roman" w:hAnsi="Times New Roman" w:cs="Times New Roman"/>
                <w:sz w:val="10"/>
              </w:rPr>
              <w:t xml:space="preserve">              6,312,862,816</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6,944,149,098</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7,638,564,007</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19</w:t>
            </w:r>
          </w:p>
        </w:tc>
      </w:tr>
      <w:tr w:rsidR="001C682A">
        <w:trPr>
          <w:gridAfter w:val="2"/>
          <w:wAfter w:w="322" w:type="dxa"/>
          <w:trHeight w:val="153"/>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20</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Signature Bonus (See Line Item 116)</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63" w:firstLine="0"/>
              <w:jc w:val="left"/>
            </w:pPr>
            <w:r>
              <w:rPr>
                <w:rFonts w:ascii="Times New Roman" w:eastAsia="Times New Roman" w:hAnsi="Times New Roman" w:cs="Times New Roman"/>
                <w:sz w:val="10"/>
              </w:rPr>
              <w:t xml:space="preserve">          350,521,054,200</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63" w:firstLine="0"/>
              <w:jc w:val="left"/>
            </w:pPr>
            <w:r>
              <w:rPr>
                <w:rFonts w:ascii="Times New Roman" w:eastAsia="Times New Roman" w:hAnsi="Times New Roman" w:cs="Times New Roman"/>
                <w:sz w:val="10"/>
              </w:rPr>
              <w:t xml:space="preserve">          343,380,980,160</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35,876,085,192</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sz w:val="10"/>
              </w:rPr>
              <w:t xml:space="preserve">                                  -</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1C682A">
            <w:pPr>
              <w:spacing w:after="160" w:line="259" w:lineRule="auto"/>
              <w:ind w:left="0" w:firstLine="0"/>
              <w:jc w:val="left"/>
            </w:pPr>
          </w:p>
        </w:tc>
      </w:tr>
      <w:tr w:rsidR="001C682A">
        <w:trPr>
          <w:gridAfter w:val="2"/>
          <w:wAfter w:w="322" w:type="dxa"/>
          <w:trHeight w:val="153"/>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21</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0"/>
              </w:rPr>
              <w:t>Other Revenue (Gross)</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63" w:firstLine="0"/>
              <w:jc w:val="left"/>
            </w:pPr>
            <w:r>
              <w:rPr>
                <w:rFonts w:ascii="Times New Roman" w:eastAsia="Times New Roman" w:hAnsi="Times New Roman" w:cs="Times New Roman"/>
                <w:b/>
                <w:sz w:val="10"/>
              </w:rPr>
              <w:t xml:space="preserve">       6,612,869,525,468</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63" w:firstLine="0"/>
              <w:jc w:val="left"/>
            </w:pPr>
            <w:r>
              <w:rPr>
                <w:rFonts w:ascii="Times New Roman" w:eastAsia="Times New Roman" w:hAnsi="Times New Roman" w:cs="Times New Roman"/>
                <w:b/>
                <w:sz w:val="10"/>
              </w:rPr>
              <w:t xml:space="preserve">       6,119,151,366,514</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7,020,108,566,277</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7,427,249,273,199</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21</w:t>
            </w:r>
          </w:p>
        </w:tc>
      </w:tr>
      <w:tr w:rsidR="001C682A">
        <w:trPr>
          <w:gridAfter w:val="2"/>
          <w:wAfter w:w="322" w:type="dxa"/>
          <w:trHeight w:val="153"/>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22</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Gross Non-Oil Revenue (See Line Item 133)</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63" w:firstLine="0"/>
              <w:jc w:val="left"/>
            </w:pPr>
            <w:r>
              <w:rPr>
                <w:rFonts w:ascii="Times New Roman" w:eastAsia="Times New Roman" w:hAnsi="Times New Roman" w:cs="Times New Roman"/>
                <w:sz w:val="10"/>
              </w:rPr>
              <w:t xml:space="preserve">       6,078,846,844,325</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63" w:firstLine="0"/>
              <w:jc w:val="left"/>
            </w:pPr>
            <w:r>
              <w:rPr>
                <w:rFonts w:ascii="Times New Roman" w:eastAsia="Times New Roman" w:hAnsi="Times New Roman" w:cs="Times New Roman"/>
                <w:sz w:val="10"/>
              </w:rPr>
              <w:t xml:space="preserve">       5,564,124,246,453</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6,379,234,801,696</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6,688,006,345,100</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22</w:t>
            </w:r>
          </w:p>
        </w:tc>
      </w:tr>
      <w:tr w:rsidR="001C682A">
        <w:trPr>
          <w:gridAfter w:val="2"/>
          <w:wAfter w:w="322" w:type="dxa"/>
          <w:trHeight w:val="143"/>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23</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 xml:space="preserve">Non-Federation Account Levies for Targeted Expenditure </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63" w:firstLine="0"/>
              <w:jc w:val="left"/>
            </w:pPr>
            <w:r>
              <w:rPr>
                <w:rFonts w:ascii="Times New Roman" w:eastAsia="Times New Roman" w:hAnsi="Times New Roman" w:cs="Times New Roman"/>
                <w:sz w:val="10"/>
              </w:rPr>
              <w:t xml:space="preserve">          240,853,804,117</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63" w:firstLine="0"/>
              <w:jc w:val="left"/>
            </w:pPr>
            <w:r>
              <w:rPr>
                <w:rFonts w:ascii="Times New Roman" w:eastAsia="Times New Roman" w:hAnsi="Times New Roman" w:cs="Times New Roman"/>
                <w:sz w:val="10"/>
              </w:rPr>
              <w:t xml:space="preserve">          212,899,040,571</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241,610,295,817</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249,296,464,195</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23</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24</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Education Tax</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63" w:firstLine="0"/>
              <w:jc w:val="left"/>
            </w:pPr>
            <w:r>
              <w:rPr>
                <w:rFonts w:ascii="Times New Roman" w:eastAsia="Times New Roman" w:hAnsi="Times New Roman" w:cs="Times New Roman"/>
                <w:sz w:val="10"/>
              </w:rPr>
              <w:t xml:space="preserve">          277,024,798,007</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63" w:firstLine="0"/>
              <w:jc w:val="left"/>
            </w:pPr>
            <w:r>
              <w:rPr>
                <w:rFonts w:ascii="Times New Roman" w:eastAsia="Times New Roman" w:hAnsi="Times New Roman" w:cs="Times New Roman"/>
                <w:sz w:val="10"/>
              </w:rPr>
              <w:t xml:space="preserve">          323,287,939,274</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377,277,025,133</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467,240,672,913</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24</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25</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National Information Technology Development Fund</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63" w:firstLine="0"/>
              <w:jc w:val="center"/>
            </w:pPr>
            <w:r>
              <w:rPr>
                <w:rFonts w:ascii="Times New Roman" w:eastAsia="Times New Roman" w:hAnsi="Times New Roman" w:cs="Times New Roman"/>
                <w:sz w:val="10"/>
              </w:rPr>
              <w:t xml:space="preserve">            16,144,079,019</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63" w:firstLine="0"/>
              <w:jc w:val="center"/>
            </w:pPr>
            <w:r>
              <w:rPr>
                <w:rFonts w:ascii="Times New Roman" w:eastAsia="Times New Roman" w:hAnsi="Times New Roman" w:cs="Times New Roman"/>
                <w:sz w:val="10"/>
              </w:rPr>
              <w:t xml:space="preserve">            18,840,140,216</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21,986,443,632</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22,705,790,991</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25</w:t>
            </w:r>
          </w:p>
        </w:tc>
      </w:tr>
      <w:tr w:rsidR="001C682A">
        <w:trPr>
          <w:gridAfter w:val="2"/>
          <w:wAfter w:w="322" w:type="dxa"/>
          <w:trHeight w:val="143"/>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26</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0"/>
              </w:rPr>
              <w:t>Total Federally Collectible Revenue</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63" w:firstLine="0"/>
              <w:jc w:val="left"/>
            </w:pPr>
            <w:r>
              <w:rPr>
                <w:rFonts w:ascii="Times New Roman" w:eastAsia="Times New Roman" w:hAnsi="Times New Roman" w:cs="Times New Roman"/>
                <w:b/>
                <w:sz w:val="10"/>
              </w:rPr>
              <w:t xml:space="preserve">     10,162,023,886,942</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63" w:firstLine="0"/>
              <w:jc w:val="left"/>
            </w:pPr>
            <w:r>
              <w:rPr>
                <w:rFonts w:ascii="Times New Roman" w:eastAsia="Times New Roman" w:hAnsi="Times New Roman" w:cs="Times New Roman"/>
                <w:b/>
                <w:sz w:val="10"/>
              </w:rPr>
              <w:t xml:space="preserve">     11,788,297,253,869</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13,142,534,306,335</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14,090,797,235,595</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26</w:t>
            </w:r>
          </w:p>
        </w:tc>
      </w:tr>
      <w:tr w:rsidR="001C682A">
        <w:trPr>
          <w:gridAfter w:val="2"/>
          <w:wAfter w:w="322" w:type="dxa"/>
          <w:trHeight w:val="153"/>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27</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27</w:t>
            </w:r>
          </w:p>
        </w:tc>
      </w:tr>
      <w:tr w:rsidR="001C682A">
        <w:trPr>
          <w:gridAfter w:val="2"/>
          <w:wAfter w:w="322" w:type="dxa"/>
          <w:trHeight w:val="143"/>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lastRenderedPageBreak/>
              <w:t>28</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0"/>
              </w:rPr>
              <w:t>GROSS FEDERATION ACCOUNT INFLOWS</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63" w:firstLine="0"/>
              <w:jc w:val="left"/>
            </w:pPr>
            <w:r>
              <w:rPr>
                <w:rFonts w:ascii="Times New Roman" w:eastAsia="Times New Roman" w:hAnsi="Times New Roman" w:cs="Times New Roman"/>
                <w:b/>
                <w:sz w:val="10"/>
              </w:rPr>
              <w:t xml:space="preserve">       9,116,725,751,599</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63" w:firstLine="0"/>
              <w:jc w:val="left"/>
            </w:pPr>
            <w:r>
              <w:rPr>
                <w:rFonts w:ascii="Times New Roman" w:eastAsia="Times New Roman" w:hAnsi="Times New Roman" w:cs="Times New Roman"/>
                <w:b/>
                <w:sz w:val="10"/>
              </w:rPr>
              <w:t xml:space="preserve">     10,691,802,753,648</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12,301,300,456,562</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13,182,037,507,497</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28</w:t>
            </w:r>
          </w:p>
        </w:tc>
      </w:tr>
      <w:tr w:rsidR="001C682A">
        <w:trPr>
          <w:gridAfter w:val="2"/>
          <w:wAfter w:w="322" w:type="dxa"/>
          <w:trHeight w:val="143"/>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29</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0"/>
              </w:rPr>
              <w:t>OIL REVENUE</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29</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30</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0"/>
              </w:rPr>
              <w:t>Profit Oil from Crude Oil &amp; Gas Sales</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656,864,742,350</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598,461,831,525</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b/>
                <w:sz w:val="10"/>
              </w:rPr>
              <w:t xml:space="preserve">            739,151,653,232</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b/>
                <w:sz w:val="10"/>
              </w:rPr>
              <w:t xml:space="preserve">            762,943,705,799</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30</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31</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NNPC JV Crude Oil &amp; Gas (Profit Oil)</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280,691,780,270</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309,956,265,210</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487,788,379,616</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474,612,095,840</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31</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32</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 xml:space="preserve">MCA Crude Oil &amp; Gas (Profit Oil) </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40,582,080,000</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70,040,193,847</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35,049,469,795</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39,759,863,982</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32</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33</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EF Crude Oil &amp; Gas (Profit Oil)</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30,252,096,000</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43,601,713,184</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49,062,741,696</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62,657,123,328</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1C682A">
            <w:pPr>
              <w:spacing w:after="160" w:line="259" w:lineRule="auto"/>
              <w:ind w:left="0" w:firstLine="0"/>
              <w:jc w:val="left"/>
            </w:pP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34</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PSC Crude Oil &amp; Gas (Profit Oil)</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145,007,962,453</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174,455,806,600</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166,976,821,980</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185,689,745,730</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34</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35</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PSC Crude Oil &amp; Gas (New Terms)</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160,000,000,000</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sz w:val="10"/>
              </w:rPr>
              <w:t xml:space="preserve">                                  -</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sz w:val="10"/>
              </w:rPr>
              <w:t xml:space="preserve">                                  -</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35</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36</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SC Crude Oil &amp; Gas (Profit Oil)</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330,823,627</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407,852,684</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274,240,144</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224,876,918</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36</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37</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0"/>
              </w:rPr>
              <w:t xml:space="preserve">Petroleum Profits Tax on Oil &amp; Gas </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284,003,905,677</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1,554,775,136,822</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b/>
                <w:sz w:val="10"/>
              </w:rPr>
              <w:t xml:space="preserve">         2,025,001,178,106</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b/>
                <w:sz w:val="10"/>
              </w:rPr>
              <w:t xml:space="preserve">         2,350,075,894,874</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37</w:t>
            </w:r>
          </w:p>
        </w:tc>
      </w:tr>
      <w:tr w:rsidR="001C682A">
        <w:trPr>
          <w:gridAfter w:val="2"/>
          <w:wAfter w:w="322" w:type="dxa"/>
          <w:trHeight w:val="13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38</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NNPC JV PPT</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388,180,241,562</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448,377,951,111</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497,642,138,838</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38</w:t>
            </w:r>
          </w:p>
        </w:tc>
      </w:tr>
      <w:tr w:rsidR="001C682A">
        <w:trPr>
          <w:gridAfter w:val="2"/>
          <w:wAfter w:w="322" w:type="dxa"/>
          <w:trHeight w:val="13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39</w:t>
            </w:r>
          </w:p>
        </w:tc>
        <w:tc>
          <w:tcPr>
            <w:tcW w:w="411"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345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i/>
                <w:sz w:val="10"/>
              </w:rPr>
              <w:t>NNPC JV PPT (Gross)</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i/>
                <w:sz w:val="10"/>
              </w:rPr>
              <w:t xml:space="preserve">       1,494,665,748,602</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1,560,719,572,197</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1,678,752,750,200</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39</w:t>
            </w:r>
          </w:p>
        </w:tc>
      </w:tr>
      <w:tr w:rsidR="001C682A">
        <w:trPr>
          <w:gridAfter w:val="2"/>
          <w:wAfter w:w="322" w:type="dxa"/>
          <w:trHeight w:val="13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40</w:t>
            </w:r>
          </w:p>
        </w:tc>
        <w:tc>
          <w:tcPr>
            <w:tcW w:w="411"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345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i/>
                <w:sz w:val="10"/>
              </w:rPr>
              <w:t>NNPC JV PPT (Cost Recovery)</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i/>
                <w:sz w:val="10"/>
              </w:rPr>
              <w:t xml:space="preserve">       1,106,485,507,040</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1,112,341,621,087</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1,181,110,611,361</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40</w:t>
            </w:r>
          </w:p>
        </w:tc>
      </w:tr>
      <w:tr w:rsidR="001C682A">
        <w:trPr>
          <w:gridAfter w:val="2"/>
          <w:wAfter w:w="322" w:type="dxa"/>
          <w:trHeight w:val="13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41</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JV Partner PPT</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287,323,551,679</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331,880,738,930</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368,345,143,537</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41</w:t>
            </w:r>
          </w:p>
        </w:tc>
      </w:tr>
      <w:tr w:rsidR="001C682A">
        <w:trPr>
          <w:gridAfter w:val="2"/>
          <w:wAfter w:w="322" w:type="dxa"/>
          <w:trHeight w:val="13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42</w:t>
            </w:r>
          </w:p>
        </w:tc>
        <w:tc>
          <w:tcPr>
            <w:tcW w:w="411"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345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i/>
                <w:sz w:val="10"/>
              </w:rPr>
              <w:t>JV Partner PPT (Gross)</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i/>
                <w:sz w:val="10"/>
              </w:rPr>
              <w:t xml:space="preserve">       1,106,322,850,781</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1,155,214,621,060</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1,242,580,510,120</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42</w:t>
            </w:r>
          </w:p>
        </w:tc>
      </w:tr>
      <w:tr w:rsidR="001C682A">
        <w:trPr>
          <w:gridAfter w:val="2"/>
          <w:wAfter w:w="322" w:type="dxa"/>
          <w:trHeight w:val="13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43</w:t>
            </w:r>
          </w:p>
        </w:tc>
        <w:tc>
          <w:tcPr>
            <w:tcW w:w="411"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345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i/>
                <w:sz w:val="10"/>
              </w:rPr>
              <w:t>JV Partner PPT (Cost Recovery)</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i/>
                <w:sz w:val="10"/>
              </w:rPr>
              <w:t xml:space="preserve">          818,999,299,102</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823,333,882,130</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874,235,366,584</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43</w:t>
            </w:r>
          </w:p>
        </w:tc>
      </w:tr>
      <w:tr w:rsidR="001C682A">
        <w:trPr>
          <w:gridAfter w:val="2"/>
          <w:wAfter w:w="322" w:type="dxa"/>
          <w:trHeight w:val="129"/>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44</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PSC PPT</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201,609,570,026</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437,872,127,210</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515,490,293,721</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574,863,347,162</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44</w:t>
            </w:r>
          </w:p>
        </w:tc>
      </w:tr>
      <w:tr w:rsidR="001C682A">
        <w:trPr>
          <w:gridAfter w:val="2"/>
          <w:wAfter w:w="322" w:type="dxa"/>
          <w:trHeight w:val="12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45</w:t>
            </w:r>
          </w:p>
        </w:tc>
        <w:tc>
          <w:tcPr>
            <w:tcW w:w="411"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345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i/>
                <w:sz w:val="10"/>
              </w:rPr>
              <w:t>PSC PPT (Gross)</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i/>
                <w:sz w:val="10"/>
              </w:rPr>
              <w:t xml:space="preserve">       1,314,419,496,138</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i/>
                <w:sz w:val="10"/>
              </w:rPr>
              <w:t xml:space="preserve">       1,924,151,977,228</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1,788,814,399,556</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1,896,701,184,000</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45</w:t>
            </w:r>
          </w:p>
        </w:tc>
      </w:tr>
      <w:tr w:rsidR="001C682A">
        <w:trPr>
          <w:gridAfter w:val="2"/>
          <w:wAfter w:w="322" w:type="dxa"/>
          <w:trHeight w:val="12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46</w:t>
            </w:r>
          </w:p>
        </w:tc>
        <w:tc>
          <w:tcPr>
            <w:tcW w:w="411"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345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i/>
                <w:sz w:val="10"/>
              </w:rPr>
              <w:t>PSC PPT (Cost Recovery)</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i/>
                <w:sz w:val="10"/>
              </w:rPr>
              <w:t xml:space="preserve">       1,112,809,926,112</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i/>
                <w:sz w:val="10"/>
              </w:rPr>
              <w:t xml:space="preserve">       1,486,279,850,018</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1,273,324,105,835</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1,321,837,836,838</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46</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47</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SC PPT</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8,537,428,773</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12,163,003,521</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8,178,403,567</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6,706,290,925</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47</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48</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Independent Producers' Tax</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122,755,334,349</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345,250,510,455</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497,475,794,671</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48</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49</w:t>
            </w:r>
          </w:p>
        </w:tc>
        <w:tc>
          <w:tcPr>
            <w:tcW w:w="411"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345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i/>
                <w:sz w:val="10"/>
              </w:rPr>
              <w:t>Independent Producers' Tax (Gross)</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i/>
                <w:sz w:val="10"/>
              </w:rPr>
              <w:t xml:space="preserve">          684,932,223,600</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1,645,617,700,062</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2,261,862,496,714</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49</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50</w:t>
            </w:r>
          </w:p>
        </w:tc>
        <w:tc>
          <w:tcPr>
            <w:tcW w:w="411"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345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i/>
                <w:sz w:val="10"/>
              </w:rPr>
              <w:t>Independent Producers' Tax (Cost Recovery)</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i/>
                <w:sz w:val="10"/>
              </w:rPr>
              <w:t xml:space="preserve">          562,176,889,251</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1,300,367,189,607</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1,764,386,702,042</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50</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51</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MCA Profits Tax</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62,874,766,504</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34,804,910,909</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40,739,435,146</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51</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52</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External Financing Profits Tax</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39,141,061,512</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48,720,404,721</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64,200,818,530</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52</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53</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Marginal Fields Profits Tax</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70,193,302,917</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119,589,686,125</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123,053,049,241</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53</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54</w:t>
            </w:r>
          </w:p>
        </w:tc>
        <w:tc>
          <w:tcPr>
            <w:tcW w:w="411"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345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i/>
                <w:sz w:val="10"/>
              </w:rPr>
              <w:t>Marginal Fields Profit Tax (Gross)</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i/>
                <w:sz w:val="10"/>
              </w:rPr>
              <w:t xml:space="preserve">          141,839,598,600</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202,627,998,000</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206,680,557,960</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54</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55</w:t>
            </w:r>
          </w:p>
        </w:tc>
        <w:tc>
          <w:tcPr>
            <w:tcW w:w="411"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345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i/>
                <w:sz w:val="10"/>
              </w:rPr>
              <w:t>Marginal Fields Profit Tax (Cost Recovery)</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i/>
                <w:sz w:val="10"/>
              </w:rPr>
              <w:t xml:space="preserve">            71,646,295,683</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83,038,311,875</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83,627,508,719</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55</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56</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Repayment Arrears (Partners' Tax)</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73,856,906,878</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134,271,747,569</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172,708,278,567</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177,049,876,825</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56</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57</w:t>
            </w:r>
          </w:p>
        </w:tc>
        <w:tc>
          <w:tcPr>
            <w:tcW w:w="411"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345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i/>
                <w:sz w:val="10"/>
              </w:rPr>
              <w:t>Repayment Arrears (Partners' Tax) Gross</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i/>
                <w:sz w:val="10"/>
              </w:rPr>
              <w:t xml:space="preserve">            85,982,622,419</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i/>
                <w:sz w:val="10"/>
              </w:rPr>
              <w:t xml:space="preserve">          139,094,833,222</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178,912,017,147</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183,409,567,053</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57</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lastRenderedPageBreak/>
              <w:t>58</w:t>
            </w:r>
          </w:p>
        </w:tc>
        <w:tc>
          <w:tcPr>
            <w:tcW w:w="411"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345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i/>
                <w:sz w:val="10"/>
              </w:rPr>
              <w:t>Repayment Arrears (Partners' Tax) Cost Recovery</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i/>
                <w:sz w:val="10"/>
              </w:rPr>
              <w:t xml:space="preserve">            12,125,715,541</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i/>
                <w:sz w:val="10"/>
              </w:rPr>
              <w:t xml:space="preserve">              4,823,085,654</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6,203,738,580</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34" w:firstLine="0"/>
              <w:jc w:val="left"/>
            </w:pPr>
            <w:r>
              <w:rPr>
                <w:rFonts w:ascii="Times New Roman" w:eastAsia="Times New Roman" w:hAnsi="Times New Roman" w:cs="Times New Roman"/>
                <w:i/>
                <w:sz w:val="10"/>
              </w:rPr>
              <w:t xml:space="preserve">                6,359,690,228</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58</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59</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0"/>
              </w:rPr>
              <w:t>Gas Income @ 30% CITA (Net of Cost recovery)</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426,614,336,799</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486,034,066,822</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b/>
                <w:sz w:val="10"/>
              </w:rPr>
              <w:t xml:space="preserve">            508,947,701,024</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b/>
                <w:sz w:val="10"/>
              </w:rPr>
              <w:t xml:space="preserve">            527,446,034,238</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59</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60</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NNPC JV Gas Income Tax</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216,697,576,272</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227,621,495,432</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238,306,824,675</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248,936,946,263</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60</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61</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JV Partner Gas Income Tax</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157,338,428,373</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168,481,054,685</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176,390,129,955</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184,258,341,580</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61</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62</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Independent Producers' Gas Income Tax</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52,578,332,154</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89,931,516,705</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94,250,746,395</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94,250,746,395</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62</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63</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0"/>
              </w:rPr>
              <w:t>Oil &amp; Gas Royalties</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945,373,464,571</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1,601,208,541,268</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b/>
                <w:sz w:val="10"/>
              </w:rPr>
              <w:t xml:space="preserve">         1,888,574,664,937</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b/>
                <w:sz w:val="10"/>
              </w:rPr>
              <w:t xml:space="preserve">         2,168,580,743,747</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63</w:t>
            </w:r>
          </w:p>
        </w:tc>
      </w:tr>
      <w:tr w:rsidR="001C682A">
        <w:trPr>
          <w:gridAfter w:val="2"/>
          <w:wAfter w:w="322" w:type="dxa"/>
          <w:trHeight w:val="12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64</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NNPC JV Royalty</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326,807,785,038</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440,796,884,989</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465,460,955,770</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501,406,270,630</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64</w:t>
            </w:r>
          </w:p>
        </w:tc>
      </w:tr>
      <w:tr w:rsidR="001C682A">
        <w:trPr>
          <w:gridAfter w:val="2"/>
          <w:wAfter w:w="322" w:type="dxa"/>
          <w:trHeight w:val="12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65</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JV Partner Royalty</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237,286,563,894</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326,269,379,540</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344,525,250,543</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371,131,281,520</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65</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66</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PSC Royalty</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85,386,635,447</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426,565,570,903</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396,562,560,866</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420,480,000,000</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66</w:t>
            </w:r>
          </w:p>
        </w:tc>
      </w:tr>
      <w:tr w:rsidR="001C682A">
        <w:trPr>
          <w:gridAfter w:val="2"/>
          <w:wAfter w:w="322" w:type="dxa"/>
          <w:trHeight w:val="129"/>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67</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SC Royalty</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2,279,934,064</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3,248,149,623</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2,184,055,806</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1,790,925,761</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67</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68</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Independent Producers' Royalty</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160,289,992,800</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192,837,384,000</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463,310,969,188</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636,809,937,984</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68</w:t>
            </w:r>
          </w:p>
        </w:tc>
      </w:tr>
      <w:tr w:rsidR="001C682A">
        <w:trPr>
          <w:gridAfter w:val="2"/>
          <w:wAfter w:w="322" w:type="dxa"/>
          <w:trHeight w:val="133"/>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69</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Marginal Fields Royalty</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11,995,693,920</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17,089,884,000</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24,414,120,000</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24,902,402,400</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69</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70</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MCA Royalty</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37,883,371,680</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65,382,520,956</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32,718,680,054</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37,115,833,027</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70</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71</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EF Royalty</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28,240,331,616</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40,702,199,257</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45,800,069,373</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58,490,424,627</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71</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72</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Repayment Arrears (Royalties) - NNPC</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31,981,921,482</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50,751,375,556</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65,279,426,729</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66,920,442,711</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72</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73</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Repayment Arrears (Royalties) - JV Partner</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23,221,234,630</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37,565,192,444</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48,318,576,607</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49,533,225,087</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73</w:t>
            </w:r>
          </w:p>
        </w:tc>
      </w:tr>
      <w:tr w:rsidR="001C682A">
        <w:trPr>
          <w:gridAfter w:val="2"/>
          <w:wAfter w:w="322" w:type="dxa"/>
          <w:trHeight w:val="129"/>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74</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0"/>
              </w:rPr>
              <w:t>Gas Royalties (net of Cost Recovery)</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b/>
                <w:sz w:val="10"/>
              </w:rPr>
              <w:t xml:space="preserve">                                -</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b/>
                <w:sz w:val="10"/>
              </w:rPr>
              <w:t xml:space="preserve">                                -</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b/>
                <w:sz w:val="10"/>
              </w:rPr>
              <w:t xml:space="preserve">                                  -</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b/>
                <w:sz w:val="10"/>
              </w:rPr>
              <w:t xml:space="preserve">                                  -</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74</w:t>
            </w:r>
          </w:p>
        </w:tc>
      </w:tr>
      <w:tr w:rsidR="001C682A">
        <w:trPr>
          <w:gridAfter w:val="2"/>
          <w:wAfter w:w="322" w:type="dxa"/>
          <w:trHeight w:val="133"/>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75</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0"/>
              </w:rPr>
              <w:t>Concessional Rentals</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6,030,890,426</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6,052,601,135</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b/>
                <w:sz w:val="10"/>
              </w:rPr>
              <w:t xml:space="preserve">                6,025,813,895</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b/>
                <w:sz w:val="10"/>
              </w:rPr>
              <w:t xml:space="preserve">                6,025,813,895</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75</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76</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0"/>
              </w:rPr>
              <w:t>Gas Flared Penalty</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103,508,708,449</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130,424,297,362</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b/>
                <w:sz w:val="10"/>
              </w:rPr>
              <w:t xml:space="preserve">            136,564,930,959</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b/>
                <w:sz w:val="10"/>
              </w:rPr>
              <w:t xml:space="preserve">            120,451,995,213</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76</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77</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0"/>
              </w:rPr>
              <w:t>Miscellaneous (Pipeline Fees etc)</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6,295,658,511</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9,083,735,851</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b/>
                <w:sz w:val="10"/>
              </w:rPr>
              <w:t xml:space="preserve">                9,173,673,830</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b/>
                <w:sz w:val="10"/>
              </w:rPr>
              <w:t xml:space="preserve">                9,263,611,808</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77</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78</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0"/>
              </w:rPr>
              <w:t>Exchange Gain</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235,582,198,691</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b/>
                <w:sz w:val="10"/>
              </w:rPr>
              <w:t xml:space="preserve">            286,759,733,183</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b/>
                <w:sz w:val="10"/>
              </w:rPr>
              <w:t xml:space="preserve">            322,724,798,814</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78</w:t>
            </w:r>
          </w:p>
        </w:tc>
      </w:tr>
      <w:tr w:rsidR="001C682A">
        <w:trPr>
          <w:gridAfter w:val="2"/>
          <w:wAfter w:w="322" w:type="dxa"/>
          <w:trHeight w:val="14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79</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0"/>
              </w:rPr>
              <w:t>Incidental Oil Revenue (Royalty Recovery &amp; Marginal Field Licences)</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604,671,975,351</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499,743,234,904</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b/>
                <w:sz w:val="10"/>
              </w:rPr>
              <w:t xml:space="preserve">            314,922,156,602</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b/>
                <w:sz w:val="10"/>
              </w:rPr>
              <w:t xml:space="preserve">            218,880,000,000</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79</w:t>
            </w:r>
          </w:p>
        </w:tc>
      </w:tr>
      <w:tr w:rsidR="001C682A">
        <w:trPr>
          <w:gridAfter w:val="2"/>
          <w:wAfter w:w="322" w:type="dxa"/>
          <w:trHeight w:val="138"/>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80</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 xml:space="preserve">Royalties Recovery and Marginal Fields </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80,671,975,351</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sz w:val="10"/>
              </w:rPr>
              <w:t xml:space="preserve">                                  -</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sz w:val="10"/>
              </w:rPr>
              <w:t xml:space="preserve">                                  -</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80</w:t>
            </w:r>
          </w:p>
        </w:tc>
      </w:tr>
      <w:tr w:rsidR="001C682A">
        <w:trPr>
          <w:gridAfter w:val="2"/>
          <w:wAfter w:w="322" w:type="dxa"/>
          <w:trHeight w:val="153"/>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81</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 xml:space="preserve">Good and Valuable Consideration of </w:t>
            </w:r>
            <w:proofErr w:type="spellStart"/>
            <w:r>
              <w:rPr>
                <w:rFonts w:ascii="Times New Roman" w:eastAsia="Times New Roman" w:hAnsi="Times New Roman" w:cs="Times New Roman"/>
                <w:sz w:val="10"/>
              </w:rPr>
              <w:t>Diversted</w:t>
            </w:r>
            <w:proofErr w:type="spellEnd"/>
            <w:r>
              <w:rPr>
                <w:rFonts w:ascii="Times New Roman" w:eastAsia="Times New Roman" w:hAnsi="Times New Roman" w:cs="Times New Roman"/>
                <w:sz w:val="10"/>
              </w:rPr>
              <w:t xml:space="preserve"> Assets</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334,800,000,000</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390,303,234,904</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260,202,156,602</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sz w:val="10"/>
              </w:rPr>
              <w:t xml:space="preserve">                                  -</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81</w:t>
            </w:r>
          </w:p>
        </w:tc>
      </w:tr>
      <w:tr w:rsidR="001C682A">
        <w:trPr>
          <w:gridAfter w:val="2"/>
          <w:wAfter w:w="322" w:type="dxa"/>
          <w:trHeight w:val="153"/>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82</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Recovery of Back Taxes from NPDC</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189,200,000,000</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sz w:val="10"/>
              </w:rPr>
              <w:t xml:space="preserve">                                  -</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0" w:firstLine="0"/>
              <w:jc w:val="left"/>
            </w:pPr>
            <w:r>
              <w:rPr>
                <w:rFonts w:ascii="Times New Roman" w:eastAsia="Times New Roman" w:hAnsi="Times New Roman" w:cs="Times New Roman"/>
                <w:sz w:val="10"/>
              </w:rPr>
              <w:t xml:space="preserve">                                  -</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1C682A">
            <w:pPr>
              <w:spacing w:after="160" w:line="259" w:lineRule="auto"/>
              <w:ind w:left="0" w:firstLine="0"/>
              <w:jc w:val="left"/>
            </w:pPr>
          </w:p>
        </w:tc>
      </w:tr>
      <w:tr w:rsidR="001C682A">
        <w:trPr>
          <w:gridAfter w:val="2"/>
          <w:wAfter w:w="322" w:type="dxa"/>
          <w:trHeight w:val="153"/>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83</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86" w:firstLine="0"/>
              <w:jc w:val="left"/>
            </w:pPr>
            <w:r>
              <w:rPr>
                <w:rFonts w:ascii="Times New Roman" w:eastAsia="Times New Roman" w:hAnsi="Times New Roman" w:cs="Times New Roman"/>
                <w:sz w:val="10"/>
              </w:rPr>
              <w:t>Lease Renewal Bonus</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sz w:val="10"/>
              </w:rPr>
              <w:t xml:space="preserve">          109,440,000,000</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54,720,000,000</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sz w:val="10"/>
              </w:rPr>
              <w:t xml:space="preserve">            218,880,000,000</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1C682A">
            <w:pPr>
              <w:spacing w:after="160" w:line="259" w:lineRule="auto"/>
              <w:ind w:left="0" w:firstLine="0"/>
              <w:jc w:val="left"/>
            </w:pPr>
          </w:p>
        </w:tc>
      </w:tr>
      <w:tr w:rsidR="001C682A">
        <w:trPr>
          <w:gridAfter w:val="2"/>
          <w:wAfter w:w="322" w:type="dxa"/>
          <w:trHeight w:val="143"/>
        </w:trPr>
        <w:tc>
          <w:tcPr>
            <w:tcW w:w="300" w:type="dxa"/>
            <w:tcBorders>
              <w:top w:val="single" w:sz="2" w:space="0" w:color="000000"/>
              <w:left w:val="single" w:sz="2" w:space="0" w:color="0000D0"/>
              <w:bottom w:val="single" w:sz="2" w:space="0" w:color="00000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84</w:t>
            </w:r>
          </w:p>
        </w:tc>
        <w:tc>
          <w:tcPr>
            <w:tcW w:w="3868" w:type="dxa"/>
            <w:gridSpan w:val="4"/>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0"/>
              </w:rPr>
              <w:t>Total Oil &amp; Gas Revenue</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3,033,363,682,134</w:t>
            </w:r>
          </w:p>
        </w:tc>
        <w:tc>
          <w:tcPr>
            <w:tcW w:w="1171"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5,121,365,644,379</w:t>
            </w:r>
          </w:p>
        </w:tc>
        <w:tc>
          <w:tcPr>
            <w:tcW w:w="1217"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b/>
                <w:sz w:val="10"/>
              </w:rPr>
              <w:t xml:space="preserve">         5,915,121,505,768</w:t>
            </w:r>
          </w:p>
        </w:tc>
        <w:tc>
          <w:tcPr>
            <w:tcW w:w="1218" w:type="dxa"/>
            <w:gridSpan w:val="2"/>
            <w:tcBorders>
              <w:top w:val="single" w:sz="2" w:space="0" w:color="000000"/>
              <w:left w:val="single" w:sz="2" w:space="0" w:color="000000"/>
              <w:bottom w:val="single" w:sz="2" w:space="0" w:color="00000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b/>
                <w:sz w:val="10"/>
              </w:rPr>
              <w:t xml:space="preserve">         6,486,392,598,389</w:t>
            </w:r>
          </w:p>
        </w:tc>
        <w:tc>
          <w:tcPr>
            <w:tcW w:w="68" w:type="dxa"/>
            <w:tcBorders>
              <w:top w:val="single" w:sz="2" w:space="0" w:color="000000"/>
              <w:left w:val="single" w:sz="2" w:space="0" w:color="000000"/>
              <w:bottom w:val="single" w:sz="2" w:space="0" w:color="00000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2" w:space="0" w:color="00000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84</w:t>
            </w:r>
          </w:p>
        </w:tc>
      </w:tr>
      <w:tr w:rsidR="001C682A">
        <w:trPr>
          <w:gridAfter w:val="2"/>
          <w:wAfter w:w="322" w:type="dxa"/>
          <w:trHeight w:val="147"/>
        </w:trPr>
        <w:tc>
          <w:tcPr>
            <w:tcW w:w="300" w:type="dxa"/>
            <w:tcBorders>
              <w:top w:val="single" w:sz="2" w:space="0" w:color="000000"/>
              <w:left w:val="single" w:sz="2" w:space="0" w:color="0000D0"/>
              <w:bottom w:val="single" w:sz="4" w:space="0" w:color="0000D0"/>
              <w:right w:val="single" w:sz="2" w:space="0" w:color="000000"/>
            </w:tcBorders>
            <w:shd w:val="clear" w:color="auto" w:fill="FFFFFF"/>
          </w:tcPr>
          <w:p w:rsidR="001C682A" w:rsidRDefault="00B03C38">
            <w:pPr>
              <w:spacing w:after="0" w:line="259" w:lineRule="auto"/>
              <w:ind w:left="71" w:firstLine="0"/>
              <w:jc w:val="left"/>
            </w:pPr>
            <w:r>
              <w:rPr>
                <w:rFonts w:ascii="Times New Roman" w:eastAsia="Times New Roman" w:hAnsi="Times New Roman" w:cs="Times New Roman"/>
                <w:sz w:val="10"/>
              </w:rPr>
              <w:t>85</w:t>
            </w:r>
          </w:p>
        </w:tc>
        <w:tc>
          <w:tcPr>
            <w:tcW w:w="3868" w:type="dxa"/>
            <w:gridSpan w:val="4"/>
            <w:tcBorders>
              <w:top w:val="single" w:sz="2" w:space="0" w:color="000000"/>
              <w:left w:val="single" w:sz="2" w:space="0" w:color="000000"/>
              <w:bottom w:val="single" w:sz="4" w:space="0" w:color="0000D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0"/>
              </w:rPr>
              <w:t>Deductions</w:t>
            </w:r>
          </w:p>
        </w:tc>
        <w:tc>
          <w:tcPr>
            <w:tcW w:w="1171" w:type="dxa"/>
            <w:gridSpan w:val="2"/>
            <w:tcBorders>
              <w:top w:val="single" w:sz="2" w:space="0" w:color="000000"/>
              <w:left w:val="single" w:sz="2" w:space="0" w:color="000000"/>
              <w:bottom w:val="single" w:sz="4" w:space="0" w:color="0000D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424,233,211,044</w:t>
            </w:r>
          </w:p>
        </w:tc>
        <w:tc>
          <w:tcPr>
            <w:tcW w:w="1171" w:type="dxa"/>
            <w:gridSpan w:val="2"/>
            <w:tcBorders>
              <w:top w:val="single" w:sz="2" w:space="0" w:color="000000"/>
              <w:left w:val="single" w:sz="2" w:space="0" w:color="000000"/>
              <w:bottom w:val="single" w:sz="4" w:space="0" w:color="0000D0"/>
              <w:right w:val="single" w:sz="2" w:space="0" w:color="000000"/>
            </w:tcBorders>
          </w:tcPr>
          <w:p w:rsidR="001C682A" w:rsidRDefault="00B03C38">
            <w:pPr>
              <w:spacing w:after="0" w:line="259" w:lineRule="auto"/>
              <w:ind w:left="51" w:firstLine="0"/>
              <w:jc w:val="left"/>
            </w:pPr>
            <w:r>
              <w:rPr>
                <w:rFonts w:ascii="Times New Roman" w:eastAsia="Times New Roman" w:hAnsi="Times New Roman" w:cs="Times New Roman"/>
                <w:b/>
                <w:sz w:val="10"/>
              </w:rPr>
              <w:t xml:space="preserve">          395,607,269,903</w:t>
            </w:r>
          </w:p>
        </w:tc>
        <w:tc>
          <w:tcPr>
            <w:tcW w:w="1217" w:type="dxa"/>
            <w:gridSpan w:val="2"/>
            <w:tcBorders>
              <w:top w:val="single" w:sz="2" w:space="0" w:color="000000"/>
              <w:left w:val="single" w:sz="2" w:space="0" w:color="000000"/>
              <w:bottom w:val="single" w:sz="4" w:space="0" w:color="0000D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b/>
                <w:sz w:val="10"/>
              </w:rPr>
              <w:t xml:space="preserve">            525,455,994,474</w:t>
            </w:r>
          </w:p>
        </w:tc>
        <w:tc>
          <w:tcPr>
            <w:tcW w:w="1218" w:type="dxa"/>
            <w:gridSpan w:val="2"/>
            <w:tcBorders>
              <w:top w:val="single" w:sz="2" w:space="0" w:color="000000"/>
              <w:left w:val="single" w:sz="2" w:space="0" w:color="000000"/>
              <w:bottom w:val="single" w:sz="4" w:space="0" w:color="0000D0"/>
              <w:right w:val="single" w:sz="2" w:space="0" w:color="000000"/>
            </w:tcBorders>
          </w:tcPr>
          <w:p w:rsidR="001C682A" w:rsidRDefault="00B03C38">
            <w:pPr>
              <w:spacing w:after="0" w:line="259" w:lineRule="auto"/>
              <w:ind w:left="46" w:firstLine="0"/>
              <w:jc w:val="left"/>
            </w:pPr>
            <w:r>
              <w:rPr>
                <w:rFonts w:ascii="Times New Roman" w:eastAsia="Times New Roman" w:hAnsi="Times New Roman" w:cs="Times New Roman"/>
                <w:b/>
                <w:sz w:val="10"/>
              </w:rPr>
              <w:t xml:space="preserve">            327,199,964,748</w:t>
            </w:r>
          </w:p>
        </w:tc>
        <w:tc>
          <w:tcPr>
            <w:tcW w:w="68" w:type="dxa"/>
            <w:tcBorders>
              <w:top w:val="single" w:sz="2" w:space="0" w:color="000000"/>
              <w:left w:val="single" w:sz="2" w:space="0" w:color="000000"/>
              <w:bottom w:val="single" w:sz="4" w:space="0" w:color="0000D0"/>
              <w:right w:val="single" w:sz="2" w:space="0" w:color="000000"/>
            </w:tcBorders>
          </w:tcPr>
          <w:p w:rsidR="001C682A" w:rsidRDefault="001C682A">
            <w:pPr>
              <w:spacing w:after="160" w:line="259" w:lineRule="auto"/>
              <w:ind w:left="0" w:firstLine="0"/>
              <w:jc w:val="left"/>
            </w:pPr>
          </w:p>
        </w:tc>
        <w:tc>
          <w:tcPr>
            <w:tcW w:w="296" w:type="dxa"/>
            <w:gridSpan w:val="2"/>
            <w:tcBorders>
              <w:top w:val="single" w:sz="2" w:space="0" w:color="000000"/>
              <w:left w:val="single" w:sz="2" w:space="0" w:color="000000"/>
              <w:bottom w:val="single" w:sz="4" w:space="0" w:color="0000D0"/>
              <w:right w:val="single" w:sz="5" w:space="0" w:color="0000D0"/>
            </w:tcBorders>
          </w:tcPr>
          <w:p w:rsidR="001C682A" w:rsidRDefault="00B03C38">
            <w:pPr>
              <w:spacing w:after="0" w:line="259" w:lineRule="auto"/>
              <w:ind w:left="74" w:firstLine="0"/>
              <w:jc w:val="left"/>
            </w:pPr>
            <w:r>
              <w:rPr>
                <w:rFonts w:ascii="Times New Roman" w:eastAsia="Times New Roman" w:hAnsi="Times New Roman" w:cs="Times New Roman"/>
                <w:sz w:val="10"/>
              </w:rPr>
              <w:t>85</w:t>
            </w:r>
          </w:p>
        </w:tc>
      </w:tr>
      <w:tr w:rsidR="001C682A">
        <w:tblPrEx>
          <w:tblCellMar>
            <w:top w:w="0" w:type="dxa"/>
            <w:left w:w="21" w:type="dxa"/>
            <w:right w:w="4" w:type="dxa"/>
          </w:tblCellMar>
        </w:tblPrEx>
        <w:trPr>
          <w:trHeight w:val="165"/>
        </w:trPr>
        <w:tc>
          <w:tcPr>
            <w:tcW w:w="310" w:type="dxa"/>
            <w:gridSpan w:val="2"/>
            <w:tcBorders>
              <w:top w:val="single" w:sz="3" w:space="0" w:color="0000D0"/>
              <w:left w:val="single" w:sz="2" w:space="0" w:color="0000D0"/>
              <w:bottom w:val="single" w:sz="3" w:space="0" w:color="000000"/>
              <w:right w:val="single" w:sz="2" w:space="0" w:color="000000"/>
            </w:tcBorders>
          </w:tcPr>
          <w:p w:rsidR="001C682A" w:rsidRDefault="00B03C38">
            <w:pPr>
              <w:spacing w:after="0" w:line="259" w:lineRule="auto"/>
              <w:ind w:left="74" w:firstLine="0"/>
              <w:jc w:val="left"/>
            </w:pPr>
            <w:r>
              <w:rPr>
                <w:rFonts w:ascii="Times New Roman" w:eastAsia="Times New Roman" w:hAnsi="Times New Roman" w:cs="Times New Roman"/>
                <w:sz w:val="13"/>
              </w:rPr>
              <w:t>86</w:t>
            </w:r>
          </w:p>
        </w:tc>
        <w:tc>
          <w:tcPr>
            <w:tcW w:w="4002" w:type="dxa"/>
            <w:gridSpan w:val="4"/>
            <w:tcBorders>
              <w:top w:val="single" w:sz="3" w:space="0" w:color="0000D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 xml:space="preserve">Fiscal Deductions (Base JV Cash Call + EF + MCA + RA) </w:t>
            </w:r>
          </w:p>
        </w:tc>
        <w:tc>
          <w:tcPr>
            <w:tcW w:w="1212" w:type="dxa"/>
            <w:gridSpan w:val="2"/>
            <w:tcBorders>
              <w:top w:val="single" w:sz="3" w:space="0" w:color="0000D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w:t>
            </w:r>
          </w:p>
        </w:tc>
        <w:tc>
          <w:tcPr>
            <w:tcW w:w="1209" w:type="dxa"/>
            <w:gridSpan w:val="2"/>
            <w:tcBorders>
              <w:top w:val="single" w:sz="3" w:space="0" w:color="0000D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w:t>
            </w:r>
          </w:p>
        </w:tc>
        <w:tc>
          <w:tcPr>
            <w:tcW w:w="1262" w:type="dxa"/>
            <w:gridSpan w:val="2"/>
            <w:tcBorders>
              <w:top w:val="single" w:sz="3" w:space="0" w:color="0000D0"/>
              <w:left w:val="single" w:sz="2" w:space="0" w:color="00000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 xml:space="preserve">                                  -</w:t>
            </w:r>
          </w:p>
        </w:tc>
        <w:tc>
          <w:tcPr>
            <w:tcW w:w="1259" w:type="dxa"/>
            <w:gridSpan w:val="3"/>
            <w:tcBorders>
              <w:top w:val="single" w:sz="3" w:space="0" w:color="0000D0"/>
              <w:left w:val="single" w:sz="2" w:space="0" w:color="000000"/>
              <w:bottom w:val="single" w:sz="3" w:space="0" w:color="000000"/>
              <w:right w:val="single" w:sz="2" w:space="0" w:color="000000"/>
            </w:tcBorders>
          </w:tcPr>
          <w:p w:rsidR="001C682A" w:rsidRDefault="00B03C38">
            <w:pPr>
              <w:spacing w:after="0" w:line="259" w:lineRule="auto"/>
              <w:ind w:left="41" w:firstLine="0"/>
              <w:jc w:val="left"/>
            </w:pPr>
            <w:r>
              <w:rPr>
                <w:rFonts w:ascii="Times New Roman" w:eastAsia="Times New Roman" w:hAnsi="Times New Roman" w:cs="Times New Roman"/>
                <w:sz w:val="13"/>
              </w:rPr>
              <w:t xml:space="preserve">                                  -</w:t>
            </w:r>
          </w:p>
        </w:tc>
        <w:tc>
          <w:tcPr>
            <w:tcW w:w="71" w:type="dxa"/>
            <w:gridSpan w:val="2"/>
            <w:tcBorders>
              <w:top w:val="single" w:sz="3" w:space="0" w:color="0000D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D0"/>
              <w:left w:val="single" w:sz="2" w:space="0" w:color="000000"/>
              <w:bottom w:val="single" w:sz="3" w:space="0" w:color="000000"/>
              <w:right w:val="single" w:sz="5" w:space="0" w:color="0000D0"/>
            </w:tcBorders>
          </w:tcPr>
          <w:p w:rsidR="001C682A" w:rsidRDefault="00B03C38">
            <w:pPr>
              <w:spacing w:after="0" w:line="259" w:lineRule="auto"/>
              <w:ind w:left="77" w:firstLine="0"/>
              <w:jc w:val="left"/>
            </w:pPr>
            <w:r>
              <w:rPr>
                <w:rFonts w:ascii="Times New Roman" w:eastAsia="Times New Roman" w:hAnsi="Times New Roman" w:cs="Times New Roman"/>
                <w:sz w:val="13"/>
              </w:rPr>
              <w:t>86</w:t>
            </w:r>
          </w:p>
        </w:tc>
      </w:tr>
      <w:tr w:rsidR="001C682A">
        <w:tblPrEx>
          <w:tblCellMar>
            <w:top w:w="0" w:type="dxa"/>
            <w:left w:w="21" w:type="dxa"/>
            <w:right w:w="4" w:type="dxa"/>
          </w:tblCellMar>
        </w:tblPrEx>
        <w:trPr>
          <w:trHeight w:val="168"/>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74" w:firstLine="0"/>
              <w:jc w:val="left"/>
            </w:pPr>
            <w:r>
              <w:rPr>
                <w:rFonts w:ascii="Times New Roman" w:eastAsia="Times New Roman" w:hAnsi="Times New Roman" w:cs="Times New Roman"/>
                <w:sz w:val="13"/>
              </w:rPr>
              <w:t>87</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Other Federally Funded Upstream Projects</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424,233,211,044</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395,607,269,903</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b/>
                <w:sz w:val="13"/>
              </w:rPr>
              <w:t xml:space="preserve">            525,455,994,474</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b/>
                <w:sz w:val="13"/>
              </w:rPr>
              <w:t xml:space="preserve">            327,199,964,748</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77" w:firstLine="0"/>
              <w:jc w:val="left"/>
            </w:pPr>
            <w:r>
              <w:rPr>
                <w:rFonts w:ascii="Times New Roman" w:eastAsia="Times New Roman" w:hAnsi="Times New Roman" w:cs="Times New Roman"/>
                <w:sz w:val="13"/>
              </w:rPr>
              <w:t>87</w:t>
            </w:r>
          </w:p>
        </w:tc>
      </w:tr>
      <w:tr w:rsidR="001C682A">
        <w:tblPrEx>
          <w:tblCellMar>
            <w:top w:w="0" w:type="dxa"/>
            <w:left w:w="21" w:type="dxa"/>
            <w:right w:w="4" w:type="dxa"/>
          </w:tblCellMar>
        </w:tblPrEx>
        <w:trPr>
          <w:trHeight w:val="162"/>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74" w:firstLine="0"/>
              <w:jc w:val="left"/>
            </w:pPr>
            <w:r>
              <w:rPr>
                <w:rFonts w:ascii="Times New Roman" w:eastAsia="Times New Roman" w:hAnsi="Times New Roman" w:cs="Times New Roman"/>
                <w:sz w:val="13"/>
              </w:rPr>
              <w:lastRenderedPageBreak/>
              <w:t>88</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National Domestic Gas Development</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80,704,587,044</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80,704,587,044</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80,704,587,044</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80,704,587,044</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77" w:firstLine="0"/>
              <w:jc w:val="left"/>
            </w:pPr>
            <w:r>
              <w:rPr>
                <w:rFonts w:ascii="Times New Roman" w:eastAsia="Times New Roman" w:hAnsi="Times New Roman" w:cs="Times New Roman"/>
                <w:sz w:val="13"/>
              </w:rPr>
              <w:t>88</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74" w:firstLine="0"/>
              <w:jc w:val="left"/>
            </w:pPr>
            <w:r>
              <w:rPr>
                <w:rFonts w:ascii="Times New Roman" w:eastAsia="Times New Roman" w:hAnsi="Times New Roman" w:cs="Times New Roman"/>
                <w:sz w:val="13"/>
              </w:rPr>
              <w:t>89</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Gas Infrastructure Development</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60,920,374,000</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60,920,374,000</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218,574,450,000</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103,302,000,000</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77" w:firstLine="0"/>
              <w:jc w:val="left"/>
            </w:pPr>
            <w:r>
              <w:rPr>
                <w:rFonts w:ascii="Times New Roman" w:eastAsia="Times New Roman" w:hAnsi="Times New Roman" w:cs="Times New Roman"/>
                <w:sz w:val="13"/>
              </w:rPr>
              <w:t>89</w:t>
            </w:r>
          </w:p>
        </w:tc>
      </w:tr>
      <w:tr w:rsidR="001C682A">
        <w:tblPrEx>
          <w:tblCellMar>
            <w:top w:w="0" w:type="dxa"/>
            <w:left w:w="21" w:type="dxa"/>
            <w:right w:w="4" w:type="dxa"/>
          </w:tblCellMar>
        </w:tblPrEx>
        <w:trPr>
          <w:trHeight w:val="162"/>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74" w:firstLine="0"/>
              <w:jc w:val="left"/>
            </w:pPr>
            <w:r>
              <w:rPr>
                <w:rFonts w:ascii="Times New Roman" w:eastAsia="Times New Roman" w:hAnsi="Times New Roman" w:cs="Times New Roman"/>
                <w:sz w:val="13"/>
              </w:rPr>
              <w:t>90</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Brass LNG Gas Supply Projects</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411,750,000</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 xml:space="preserve">                                  -</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1" w:firstLine="0"/>
              <w:jc w:val="left"/>
            </w:pPr>
            <w:r>
              <w:rPr>
                <w:rFonts w:ascii="Times New Roman" w:eastAsia="Times New Roman" w:hAnsi="Times New Roman" w:cs="Times New Roman"/>
                <w:sz w:val="13"/>
              </w:rPr>
              <w:t xml:space="preserve">                                  -</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77" w:firstLine="0"/>
              <w:jc w:val="left"/>
            </w:pPr>
            <w:r>
              <w:rPr>
                <w:rFonts w:ascii="Times New Roman" w:eastAsia="Times New Roman" w:hAnsi="Times New Roman" w:cs="Times New Roman"/>
                <w:sz w:val="13"/>
              </w:rPr>
              <w:t>90</w:t>
            </w:r>
          </w:p>
        </w:tc>
      </w:tr>
      <w:tr w:rsidR="001C682A">
        <w:tblPrEx>
          <w:tblCellMar>
            <w:top w:w="0" w:type="dxa"/>
            <w:left w:w="21" w:type="dxa"/>
            <w:right w:w="4" w:type="dxa"/>
          </w:tblCellMar>
        </w:tblPrEx>
        <w:trPr>
          <w:trHeight w:val="149"/>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74" w:firstLine="0"/>
              <w:jc w:val="left"/>
            </w:pPr>
            <w:r>
              <w:rPr>
                <w:rFonts w:ascii="Times New Roman" w:eastAsia="Times New Roman" w:hAnsi="Times New Roman" w:cs="Times New Roman"/>
                <w:sz w:val="13"/>
              </w:rPr>
              <w:t>91</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Crude Oil Pre-Export Inspection Agency Expenses (NESS)</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10,250,000,000</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10,250,000,000</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10,000,000,000</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5,000,000,000</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77" w:firstLine="0"/>
              <w:jc w:val="left"/>
            </w:pPr>
            <w:r>
              <w:rPr>
                <w:rFonts w:ascii="Times New Roman" w:eastAsia="Times New Roman" w:hAnsi="Times New Roman" w:cs="Times New Roman"/>
                <w:sz w:val="13"/>
              </w:rPr>
              <w:t>91</w:t>
            </w:r>
          </w:p>
        </w:tc>
      </w:tr>
      <w:tr w:rsidR="001C682A">
        <w:tblPrEx>
          <w:tblCellMar>
            <w:top w:w="0" w:type="dxa"/>
            <w:left w:w="21" w:type="dxa"/>
            <w:right w:w="4" w:type="dxa"/>
          </w:tblCellMar>
        </w:tblPrEx>
        <w:trPr>
          <w:trHeight w:val="168"/>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74" w:firstLine="0"/>
              <w:jc w:val="left"/>
            </w:pPr>
            <w:r>
              <w:rPr>
                <w:rFonts w:ascii="Times New Roman" w:eastAsia="Times New Roman" w:hAnsi="Times New Roman" w:cs="Times New Roman"/>
                <w:sz w:val="13"/>
              </w:rPr>
              <w:t>92</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Frontier Exploration Services (NFES)</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50,000,000,000</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50,000,000,000</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90,058,830,701</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93,473,868,844</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77" w:firstLine="0"/>
              <w:jc w:val="left"/>
            </w:pPr>
            <w:r>
              <w:rPr>
                <w:rFonts w:ascii="Times New Roman" w:eastAsia="Times New Roman" w:hAnsi="Times New Roman" w:cs="Times New Roman"/>
                <w:sz w:val="13"/>
              </w:rPr>
              <w:t>92</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74" w:firstLine="0"/>
              <w:jc w:val="left"/>
            </w:pPr>
            <w:r>
              <w:rPr>
                <w:rFonts w:ascii="Times New Roman" w:eastAsia="Times New Roman" w:hAnsi="Times New Roman" w:cs="Times New Roman"/>
                <w:sz w:val="13"/>
              </w:rPr>
              <w:t>93</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EGTL Funding</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 xml:space="preserve">                                  -</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1" w:firstLine="0"/>
              <w:jc w:val="left"/>
            </w:pPr>
            <w:r>
              <w:rPr>
                <w:rFonts w:ascii="Times New Roman" w:eastAsia="Times New Roman" w:hAnsi="Times New Roman" w:cs="Times New Roman"/>
                <w:sz w:val="13"/>
              </w:rPr>
              <w:t xml:space="preserve">                                  -</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77" w:firstLine="0"/>
              <w:jc w:val="left"/>
            </w:pPr>
            <w:r>
              <w:rPr>
                <w:rFonts w:ascii="Times New Roman" w:eastAsia="Times New Roman" w:hAnsi="Times New Roman" w:cs="Times New Roman"/>
                <w:sz w:val="13"/>
              </w:rPr>
              <w:t>93</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74" w:firstLine="0"/>
              <w:jc w:val="left"/>
            </w:pPr>
            <w:r>
              <w:rPr>
                <w:rFonts w:ascii="Times New Roman" w:eastAsia="Times New Roman" w:hAnsi="Times New Roman" w:cs="Times New Roman"/>
                <w:sz w:val="13"/>
              </w:rPr>
              <w:t>94</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Renewable Energy Development (RED)</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3,050,000,000</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3,050,000,000</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17,208,000,000</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15,037,200,000</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77" w:firstLine="0"/>
              <w:jc w:val="left"/>
            </w:pPr>
            <w:r>
              <w:rPr>
                <w:rFonts w:ascii="Times New Roman" w:eastAsia="Times New Roman" w:hAnsi="Times New Roman" w:cs="Times New Roman"/>
                <w:sz w:val="13"/>
              </w:rPr>
              <w:t>94</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74" w:firstLine="0"/>
              <w:jc w:val="left"/>
            </w:pPr>
            <w:r>
              <w:rPr>
                <w:rFonts w:ascii="Times New Roman" w:eastAsia="Times New Roman" w:hAnsi="Times New Roman" w:cs="Times New Roman"/>
                <w:sz w:val="13"/>
              </w:rPr>
              <w:t>95</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Pipeline Security &amp; Maintenance Cost</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57,896,500,000</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29,682,308,859</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29,682,308,859</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29,682,308,859</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77" w:firstLine="0"/>
              <w:jc w:val="left"/>
            </w:pPr>
            <w:r>
              <w:rPr>
                <w:rFonts w:ascii="Times New Roman" w:eastAsia="Times New Roman" w:hAnsi="Times New Roman" w:cs="Times New Roman"/>
                <w:sz w:val="13"/>
              </w:rPr>
              <w:t>95</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74" w:firstLine="0"/>
              <w:jc w:val="left"/>
            </w:pPr>
            <w:r>
              <w:rPr>
                <w:rFonts w:ascii="Times New Roman" w:eastAsia="Times New Roman" w:hAnsi="Times New Roman" w:cs="Times New Roman"/>
                <w:sz w:val="13"/>
              </w:rPr>
              <w:t>96</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Nigerian Crude Oil Finger Printing</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 xml:space="preserve">                                  -</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1" w:firstLine="0"/>
              <w:jc w:val="left"/>
            </w:pPr>
            <w:r>
              <w:rPr>
                <w:rFonts w:ascii="Times New Roman" w:eastAsia="Times New Roman" w:hAnsi="Times New Roman" w:cs="Times New Roman"/>
                <w:sz w:val="13"/>
              </w:rPr>
              <w:t xml:space="preserve">                                  -</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77" w:firstLine="0"/>
              <w:jc w:val="left"/>
            </w:pPr>
            <w:r>
              <w:rPr>
                <w:rFonts w:ascii="Times New Roman" w:eastAsia="Times New Roman" w:hAnsi="Times New Roman" w:cs="Times New Roman"/>
                <w:sz w:val="13"/>
              </w:rPr>
              <w:t>96</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74" w:firstLine="0"/>
              <w:jc w:val="left"/>
            </w:pPr>
            <w:r>
              <w:rPr>
                <w:rFonts w:ascii="Times New Roman" w:eastAsia="Times New Roman" w:hAnsi="Times New Roman" w:cs="Times New Roman"/>
                <w:sz w:val="13"/>
              </w:rPr>
              <w:t>97</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Pre-Export Financing</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60,000,000,000</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60,000,000,000</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79,227,817,869</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1" w:firstLine="0"/>
              <w:jc w:val="left"/>
            </w:pPr>
            <w:r>
              <w:rPr>
                <w:rFonts w:ascii="Times New Roman" w:eastAsia="Times New Roman" w:hAnsi="Times New Roman" w:cs="Times New Roman"/>
                <w:sz w:val="13"/>
              </w:rPr>
              <w:t xml:space="preserve">                                  -</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77" w:firstLine="0"/>
              <w:jc w:val="left"/>
            </w:pPr>
            <w:r>
              <w:rPr>
                <w:rFonts w:ascii="Times New Roman" w:eastAsia="Times New Roman" w:hAnsi="Times New Roman" w:cs="Times New Roman"/>
                <w:sz w:val="13"/>
              </w:rPr>
              <w:t>97</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74" w:firstLine="0"/>
              <w:jc w:val="left"/>
            </w:pPr>
            <w:r>
              <w:rPr>
                <w:rFonts w:ascii="Times New Roman" w:eastAsia="Times New Roman" w:hAnsi="Times New Roman" w:cs="Times New Roman"/>
                <w:sz w:val="13"/>
              </w:rPr>
              <w:t>98</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PMS Under-Recovery</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 xml:space="preserve">                                  -</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1" w:firstLine="0"/>
              <w:jc w:val="left"/>
            </w:pPr>
            <w:r>
              <w:rPr>
                <w:rFonts w:ascii="Times New Roman" w:eastAsia="Times New Roman" w:hAnsi="Times New Roman" w:cs="Times New Roman"/>
                <w:sz w:val="13"/>
              </w:rPr>
              <w:t xml:space="preserve">                                  -</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77" w:firstLine="0"/>
              <w:jc w:val="left"/>
            </w:pPr>
            <w:r>
              <w:rPr>
                <w:rFonts w:ascii="Times New Roman" w:eastAsia="Times New Roman" w:hAnsi="Times New Roman" w:cs="Times New Roman"/>
                <w:sz w:val="13"/>
              </w:rPr>
              <w:t>98</w:t>
            </w:r>
          </w:p>
        </w:tc>
      </w:tr>
      <w:tr w:rsidR="001C682A">
        <w:tblPrEx>
          <w:tblCellMar>
            <w:top w:w="0" w:type="dxa"/>
            <w:left w:w="21" w:type="dxa"/>
            <w:right w:w="4" w:type="dxa"/>
          </w:tblCellMar>
        </w:tblPrEx>
        <w:trPr>
          <w:trHeight w:val="175"/>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74" w:firstLine="0"/>
              <w:jc w:val="left"/>
            </w:pPr>
            <w:r>
              <w:rPr>
                <w:rFonts w:ascii="Times New Roman" w:eastAsia="Times New Roman" w:hAnsi="Times New Roman" w:cs="Times New Roman"/>
                <w:sz w:val="13"/>
              </w:rPr>
              <w:t>99</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Other deductions (transfer to excess crude oil on PPT and Royalty)</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77" w:firstLine="0"/>
              <w:jc w:val="left"/>
            </w:pPr>
            <w:r>
              <w:rPr>
                <w:rFonts w:ascii="Times New Roman" w:eastAsia="Times New Roman" w:hAnsi="Times New Roman" w:cs="Times New Roman"/>
                <w:sz w:val="13"/>
              </w:rPr>
              <w:t>99</w:t>
            </w:r>
          </w:p>
        </w:tc>
      </w:tr>
      <w:tr w:rsidR="001C682A">
        <w:tblPrEx>
          <w:tblCellMar>
            <w:top w:w="0" w:type="dxa"/>
            <w:left w:w="21" w:type="dxa"/>
            <w:right w:w="4" w:type="dxa"/>
          </w:tblCellMar>
        </w:tblPrEx>
        <w:trPr>
          <w:trHeight w:val="174"/>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100</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Refinery Rehabilitation</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100,000,000,000</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100,000,000,000</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 xml:space="preserve">                                  -</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1" w:firstLine="0"/>
              <w:jc w:val="left"/>
            </w:pPr>
            <w:r>
              <w:rPr>
                <w:rFonts w:ascii="Times New Roman" w:eastAsia="Times New Roman" w:hAnsi="Times New Roman" w:cs="Times New Roman"/>
                <w:sz w:val="13"/>
              </w:rPr>
              <w:t xml:space="preserve">                                  -</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100</w:t>
            </w:r>
          </w:p>
        </w:tc>
      </w:tr>
      <w:tr w:rsidR="001C682A">
        <w:tblPrEx>
          <w:tblCellMar>
            <w:top w:w="0" w:type="dxa"/>
            <w:left w:w="21" w:type="dxa"/>
            <w:right w:w="4" w:type="dxa"/>
          </w:tblCellMar>
        </w:tblPrEx>
        <w:trPr>
          <w:trHeight w:val="174"/>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101</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Nigeria Morocco Pipeline</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1,000,000,000</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1,000,000,000</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 xml:space="preserve">                                  -</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1" w:firstLine="0"/>
              <w:jc w:val="left"/>
            </w:pPr>
            <w:r>
              <w:rPr>
                <w:rFonts w:ascii="Times New Roman" w:eastAsia="Times New Roman" w:hAnsi="Times New Roman" w:cs="Times New Roman"/>
                <w:sz w:val="13"/>
              </w:rPr>
              <w:t xml:space="preserve">                                  -</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101</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102</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13% Derivation</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339,186,961,242</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614,348,588,682</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b/>
                <w:sz w:val="13"/>
              </w:rPr>
              <w:t xml:space="preserve">            700,656,516,468</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b/>
                <w:sz w:val="13"/>
              </w:rPr>
              <w:t xml:space="preserve">            800,695,042,373</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102</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103</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Special Federation Transfers:</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169,200,000,000</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103</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104</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Presidential Power Initiative</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72,000,000,000</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104</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105</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Nigeria Sovereign Investment Authority (NSIA)</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97,200,000,000</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105</w:t>
            </w:r>
          </w:p>
        </w:tc>
      </w:tr>
      <w:tr w:rsidR="001C682A">
        <w:tblPrEx>
          <w:tblCellMar>
            <w:top w:w="0" w:type="dxa"/>
            <w:left w:w="21" w:type="dxa"/>
            <w:right w:w="4" w:type="dxa"/>
          </w:tblCellMar>
        </w:tblPrEx>
        <w:trPr>
          <w:trHeight w:val="239"/>
        </w:trPr>
        <w:tc>
          <w:tcPr>
            <w:tcW w:w="310" w:type="dxa"/>
            <w:gridSpan w:val="2"/>
            <w:tcBorders>
              <w:top w:val="single" w:sz="3" w:space="0" w:color="000000"/>
              <w:left w:val="single" w:sz="2" w:space="0" w:color="0000D0"/>
              <w:bottom w:val="doub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106</w:t>
            </w:r>
          </w:p>
        </w:tc>
        <w:tc>
          <w:tcPr>
            <w:tcW w:w="4002" w:type="dxa"/>
            <w:gridSpan w:val="4"/>
            <w:tcBorders>
              <w:top w:val="single" w:sz="3" w:space="0" w:color="000000"/>
              <w:left w:val="single" w:sz="2" w:space="0" w:color="000000"/>
              <w:bottom w:val="doub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Net Oil &amp; Gas Revenue after Costs, Deductions &amp; Derivation</w:t>
            </w:r>
          </w:p>
        </w:tc>
        <w:tc>
          <w:tcPr>
            <w:tcW w:w="1212" w:type="dxa"/>
            <w:gridSpan w:val="2"/>
            <w:tcBorders>
              <w:top w:val="single" w:sz="3" w:space="0" w:color="000000"/>
              <w:left w:val="single" w:sz="2" w:space="0" w:color="000000"/>
              <w:bottom w:val="doub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2,100,743,509,848</w:t>
            </w:r>
          </w:p>
        </w:tc>
        <w:tc>
          <w:tcPr>
            <w:tcW w:w="1209" w:type="dxa"/>
            <w:gridSpan w:val="2"/>
            <w:tcBorders>
              <w:top w:val="single" w:sz="3" w:space="0" w:color="000000"/>
              <w:left w:val="single" w:sz="2" w:space="0" w:color="000000"/>
              <w:bottom w:val="doub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4,111,409,785,794</w:t>
            </w:r>
          </w:p>
        </w:tc>
        <w:tc>
          <w:tcPr>
            <w:tcW w:w="1262" w:type="dxa"/>
            <w:gridSpan w:val="2"/>
            <w:tcBorders>
              <w:top w:val="single" w:sz="3" w:space="0" w:color="000000"/>
              <w:left w:val="single" w:sz="2" w:space="0" w:color="000000"/>
              <w:bottom w:val="doub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b/>
                <w:sz w:val="13"/>
              </w:rPr>
              <w:t xml:space="preserve">         4,689,008,994,826</w:t>
            </w:r>
          </w:p>
        </w:tc>
        <w:tc>
          <w:tcPr>
            <w:tcW w:w="1259" w:type="dxa"/>
            <w:gridSpan w:val="3"/>
            <w:tcBorders>
              <w:top w:val="single" w:sz="3" w:space="0" w:color="000000"/>
              <w:left w:val="single" w:sz="2" w:space="0" w:color="000000"/>
              <w:bottom w:val="doub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b/>
                <w:sz w:val="13"/>
              </w:rPr>
              <w:t xml:space="preserve">         5,358,497,591,268</w:t>
            </w:r>
          </w:p>
        </w:tc>
        <w:tc>
          <w:tcPr>
            <w:tcW w:w="71" w:type="dxa"/>
            <w:gridSpan w:val="2"/>
            <w:tcBorders>
              <w:top w:val="single" w:sz="3" w:space="0" w:color="000000"/>
              <w:left w:val="single" w:sz="2" w:space="0" w:color="000000"/>
              <w:bottom w:val="doub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doub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106</w:t>
            </w:r>
          </w:p>
        </w:tc>
      </w:tr>
      <w:tr w:rsidR="001C682A">
        <w:tblPrEx>
          <w:tblCellMar>
            <w:top w:w="0" w:type="dxa"/>
            <w:left w:w="21" w:type="dxa"/>
            <w:right w:w="4" w:type="dxa"/>
          </w:tblCellMar>
        </w:tblPrEx>
        <w:trPr>
          <w:trHeight w:val="226"/>
        </w:trPr>
        <w:tc>
          <w:tcPr>
            <w:tcW w:w="310" w:type="dxa"/>
            <w:gridSpan w:val="2"/>
            <w:tcBorders>
              <w:top w:val="doub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112107</w:t>
            </w:r>
          </w:p>
        </w:tc>
        <w:tc>
          <w:tcPr>
            <w:tcW w:w="4002" w:type="dxa"/>
            <w:gridSpan w:val="4"/>
            <w:tcBorders>
              <w:top w:val="doub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DIVIDEND BY COMPANIES/INVESTMENTS</w:t>
            </w:r>
          </w:p>
        </w:tc>
        <w:tc>
          <w:tcPr>
            <w:tcW w:w="1212" w:type="dxa"/>
            <w:gridSpan w:val="2"/>
            <w:tcBorders>
              <w:top w:val="doub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160,754,400,000</w:t>
            </w:r>
          </w:p>
        </w:tc>
        <w:tc>
          <w:tcPr>
            <w:tcW w:w="1209" w:type="dxa"/>
            <w:gridSpan w:val="2"/>
            <w:tcBorders>
              <w:top w:val="doub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198,086,400,000</w:t>
            </w:r>
          </w:p>
        </w:tc>
        <w:tc>
          <w:tcPr>
            <w:tcW w:w="1262" w:type="dxa"/>
            <w:gridSpan w:val="2"/>
            <w:tcBorders>
              <w:top w:val="doub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b/>
                <w:sz w:val="13"/>
              </w:rPr>
              <w:t xml:space="preserve">            164,484,000,000</w:t>
            </w:r>
          </w:p>
        </w:tc>
        <w:tc>
          <w:tcPr>
            <w:tcW w:w="1259" w:type="dxa"/>
            <w:gridSpan w:val="3"/>
            <w:tcBorders>
              <w:top w:val="doub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b/>
                <w:sz w:val="13"/>
              </w:rPr>
              <w:t xml:space="preserve">            169,516,800,000</w:t>
            </w:r>
          </w:p>
        </w:tc>
        <w:tc>
          <w:tcPr>
            <w:tcW w:w="71" w:type="dxa"/>
            <w:gridSpan w:val="2"/>
            <w:tcBorders>
              <w:top w:val="doub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doub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107</w:t>
            </w:r>
          </w:p>
        </w:tc>
      </w:tr>
      <w:tr w:rsidR="001C682A">
        <w:tblPrEx>
          <w:tblCellMar>
            <w:top w:w="0" w:type="dxa"/>
            <w:left w:w="21" w:type="dxa"/>
            <w:right w:w="4" w:type="dxa"/>
          </w:tblCellMar>
        </w:tblPrEx>
        <w:trPr>
          <w:trHeight w:val="194"/>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108</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SOLID MINERAL &amp; OTHER MINING REVENUES</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108</w:t>
            </w:r>
          </w:p>
        </w:tc>
      </w:tr>
      <w:tr w:rsidR="001C682A">
        <w:tblPrEx>
          <w:tblCellMar>
            <w:top w:w="0" w:type="dxa"/>
            <w:left w:w="21" w:type="dxa"/>
            <w:right w:w="4" w:type="dxa"/>
          </w:tblCellMar>
        </w:tblPrEx>
        <w:trPr>
          <w:trHeight w:val="149"/>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109</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Royalties on Mining &amp; Other Minerals</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2,638,138,336</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5,283,306,569</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5,811,637,226</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6,392,800,949</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109</w:t>
            </w:r>
          </w:p>
        </w:tc>
      </w:tr>
      <w:tr w:rsidR="001C682A">
        <w:tblPrEx>
          <w:tblCellMar>
            <w:top w:w="0" w:type="dxa"/>
            <w:left w:w="21" w:type="dxa"/>
            <w:right w:w="4" w:type="dxa"/>
          </w:tblCellMar>
        </w:tblPrEx>
        <w:trPr>
          <w:trHeight w:val="162"/>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110</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Taxes on Minerals &amp; Other Mining</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 xml:space="preserve">                                  -</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1" w:firstLine="0"/>
              <w:jc w:val="left"/>
            </w:pPr>
            <w:r>
              <w:rPr>
                <w:rFonts w:ascii="Times New Roman" w:eastAsia="Times New Roman" w:hAnsi="Times New Roman" w:cs="Times New Roman"/>
                <w:sz w:val="13"/>
              </w:rPr>
              <w:t xml:space="preserve">                                  -</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110</w:t>
            </w:r>
          </w:p>
        </w:tc>
      </w:tr>
      <w:tr w:rsidR="001C682A">
        <w:tblPrEx>
          <w:tblCellMar>
            <w:top w:w="0" w:type="dxa"/>
            <w:left w:w="21" w:type="dxa"/>
            <w:right w:w="4" w:type="dxa"/>
          </w:tblCellMar>
        </w:tblPrEx>
        <w:trPr>
          <w:trHeight w:val="168"/>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111</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Mining Rents, Premium &amp; Fees</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1,877,086,803</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1,029,556,247</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1,132,511,872</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1,245,763,059</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111</w:t>
            </w:r>
          </w:p>
        </w:tc>
      </w:tr>
      <w:tr w:rsidR="001C682A">
        <w:tblPrEx>
          <w:tblCellMar>
            <w:top w:w="0" w:type="dxa"/>
            <w:left w:w="21" w:type="dxa"/>
            <w:right w:w="4" w:type="dxa"/>
          </w:tblCellMar>
        </w:tblPrEx>
        <w:trPr>
          <w:trHeight w:val="204"/>
        </w:trPr>
        <w:tc>
          <w:tcPr>
            <w:tcW w:w="310" w:type="dxa"/>
            <w:gridSpan w:val="2"/>
            <w:tcBorders>
              <w:top w:val="single" w:sz="3" w:space="0" w:color="000000"/>
              <w:left w:val="single" w:sz="2" w:space="0" w:color="0000D0"/>
              <w:bottom w:val="doub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112</w:t>
            </w:r>
          </w:p>
        </w:tc>
        <w:tc>
          <w:tcPr>
            <w:tcW w:w="4002" w:type="dxa"/>
            <w:gridSpan w:val="4"/>
            <w:tcBorders>
              <w:top w:val="single" w:sz="3" w:space="0" w:color="000000"/>
              <w:left w:val="single" w:sz="2" w:space="0" w:color="000000"/>
              <w:bottom w:val="doub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Total Solid Minerals Revenue</w:t>
            </w:r>
          </w:p>
        </w:tc>
        <w:tc>
          <w:tcPr>
            <w:tcW w:w="1212" w:type="dxa"/>
            <w:gridSpan w:val="2"/>
            <w:tcBorders>
              <w:top w:val="single" w:sz="3" w:space="0" w:color="000000"/>
              <w:left w:val="single" w:sz="2" w:space="0" w:color="000000"/>
              <w:bottom w:val="doub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4,515,225,139</w:t>
            </w:r>
          </w:p>
        </w:tc>
        <w:tc>
          <w:tcPr>
            <w:tcW w:w="1209" w:type="dxa"/>
            <w:gridSpan w:val="2"/>
            <w:tcBorders>
              <w:top w:val="single" w:sz="3" w:space="0" w:color="000000"/>
              <w:left w:val="single" w:sz="2" w:space="0" w:color="000000"/>
              <w:bottom w:val="doub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6,312,862,816</w:t>
            </w:r>
          </w:p>
        </w:tc>
        <w:tc>
          <w:tcPr>
            <w:tcW w:w="1262" w:type="dxa"/>
            <w:gridSpan w:val="2"/>
            <w:tcBorders>
              <w:top w:val="single" w:sz="3" w:space="0" w:color="000000"/>
              <w:left w:val="single" w:sz="2" w:space="0" w:color="000000"/>
              <w:bottom w:val="doub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b/>
                <w:sz w:val="13"/>
              </w:rPr>
              <w:t xml:space="preserve">                6,944,149,098</w:t>
            </w:r>
          </w:p>
        </w:tc>
        <w:tc>
          <w:tcPr>
            <w:tcW w:w="1259" w:type="dxa"/>
            <w:gridSpan w:val="3"/>
            <w:tcBorders>
              <w:top w:val="single" w:sz="3" w:space="0" w:color="000000"/>
              <w:left w:val="single" w:sz="2" w:space="0" w:color="000000"/>
              <w:bottom w:val="doub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b/>
                <w:sz w:val="13"/>
              </w:rPr>
              <w:t xml:space="preserve">                7,638,564,007</w:t>
            </w:r>
          </w:p>
        </w:tc>
        <w:tc>
          <w:tcPr>
            <w:tcW w:w="71" w:type="dxa"/>
            <w:gridSpan w:val="2"/>
            <w:tcBorders>
              <w:top w:val="single" w:sz="3" w:space="0" w:color="000000"/>
              <w:left w:val="single" w:sz="2" w:space="0" w:color="000000"/>
              <w:bottom w:val="doub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doub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112</w:t>
            </w:r>
          </w:p>
        </w:tc>
      </w:tr>
      <w:tr w:rsidR="001C682A">
        <w:tblPrEx>
          <w:tblCellMar>
            <w:top w:w="0" w:type="dxa"/>
            <w:left w:w="21" w:type="dxa"/>
            <w:right w:w="4" w:type="dxa"/>
          </w:tblCellMar>
        </w:tblPrEx>
        <w:trPr>
          <w:trHeight w:val="159"/>
        </w:trPr>
        <w:tc>
          <w:tcPr>
            <w:tcW w:w="310" w:type="dxa"/>
            <w:gridSpan w:val="2"/>
            <w:tcBorders>
              <w:top w:val="doub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113</w:t>
            </w:r>
          </w:p>
        </w:tc>
        <w:tc>
          <w:tcPr>
            <w:tcW w:w="4002" w:type="dxa"/>
            <w:gridSpan w:val="4"/>
            <w:tcBorders>
              <w:top w:val="doub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Less 13% Derivation</w:t>
            </w:r>
          </w:p>
        </w:tc>
        <w:tc>
          <w:tcPr>
            <w:tcW w:w="1212" w:type="dxa"/>
            <w:gridSpan w:val="2"/>
            <w:tcBorders>
              <w:top w:val="double" w:sz="3" w:space="0" w:color="000000"/>
              <w:left w:val="single" w:sz="2" w:space="0" w:color="000000"/>
              <w:bottom w:val="single" w:sz="3" w:space="0" w:color="000000"/>
              <w:right w:val="single" w:sz="2" w:space="0" w:color="000000"/>
            </w:tcBorders>
          </w:tcPr>
          <w:p w:rsidR="001C682A" w:rsidRDefault="00B03C38">
            <w:pPr>
              <w:spacing w:after="0" w:line="259" w:lineRule="auto"/>
              <w:ind w:left="7" w:firstLine="0"/>
              <w:jc w:val="center"/>
            </w:pPr>
            <w:r>
              <w:rPr>
                <w:rFonts w:ascii="Times New Roman" w:eastAsia="Times New Roman" w:hAnsi="Times New Roman" w:cs="Times New Roman"/>
                <w:sz w:val="13"/>
              </w:rPr>
              <w:t xml:space="preserve">                 586,979,268</w:t>
            </w:r>
          </w:p>
        </w:tc>
        <w:tc>
          <w:tcPr>
            <w:tcW w:w="1209" w:type="dxa"/>
            <w:gridSpan w:val="2"/>
            <w:tcBorders>
              <w:top w:val="double" w:sz="3" w:space="0" w:color="000000"/>
              <w:left w:val="single" w:sz="2" w:space="0" w:color="000000"/>
              <w:bottom w:val="single" w:sz="3" w:space="0" w:color="000000"/>
              <w:right w:val="single" w:sz="2" w:space="0" w:color="000000"/>
            </w:tcBorders>
          </w:tcPr>
          <w:p w:rsidR="001C682A" w:rsidRDefault="00B03C38">
            <w:pPr>
              <w:spacing w:after="0" w:line="259" w:lineRule="auto"/>
              <w:ind w:firstLine="0"/>
              <w:jc w:val="center"/>
            </w:pPr>
            <w:r>
              <w:rPr>
                <w:rFonts w:ascii="Times New Roman" w:eastAsia="Times New Roman" w:hAnsi="Times New Roman" w:cs="Times New Roman"/>
                <w:sz w:val="13"/>
              </w:rPr>
              <w:t xml:space="preserve">                 820,672,166</w:t>
            </w:r>
          </w:p>
        </w:tc>
        <w:tc>
          <w:tcPr>
            <w:tcW w:w="1262" w:type="dxa"/>
            <w:gridSpan w:val="2"/>
            <w:tcBorders>
              <w:top w:val="doub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2" w:firstLine="0"/>
              <w:jc w:val="center"/>
            </w:pPr>
            <w:r>
              <w:rPr>
                <w:rFonts w:ascii="Times New Roman" w:eastAsia="Times New Roman" w:hAnsi="Times New Roman" w:cs="Times New Roman"/>
                <w:sz w:val="13"/>
              </w:rPr>
              <w:t xml:space="preserve">                   902,739,383</w:t>
            </w:r>
          </w:p>
        </w:tc>
        <w:tc>
          <w:tcPr>
            <w:tcW w:w="1259" w:type="dxa"/>
            <w:gridSpan w:val="3"/>
            <w:tcBorders>
              <w:top w:val="doub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993,013,321</w:t>
            </w:r>
          </w:p>
        </w:tc>
        <w:tc>
          <w:tcPr>
            <w:tcW w:w="71" w:type="dxa"/>
            <w:gridSpan w:val="2"/>
            <w:tcBorders>
              <w:top w:val="doub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doub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113</w:t>
            </w:r>
          </w:p>
        </w:tc>
      </w:tr>
      <w:tr w:rsidR="001C682A">
        <w:tblPrEx>
          <w:tblCellMar>
            <w:top w:w="0" w:type="dxa"/>
            <w:left w:w="21" w:type="dxa"/>
            <w:right w:w="4" w:type="dxa"/>
          </w:tblCellMar>
        </w:tblPrEx>
        <w:trPr>
          <w:trHeight w:val="194"/>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114</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Net Solid Minerals after Derivation</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7" w:firstLine="0"/>
              <w:jc w:val="center"/>
            </w:pPr>
            <w:r>
              <w:rPr>
                <w:rFonts w:ascii="Times New Roman" w:eastAsia="Times New Roman" w:hAnsi="Times New Roman" w:cs="Times New Roman"/>
                <w:b/>
                <w:sz w:val="13"/>
              </w:rPr>
              <w:t xml:space="preserve">              3,928,245,871</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firstLine="0"/>
              <w:jc w:val="center"/>
            </w:pPr>
            <w:r>
              <w:rPr>
                <w:rFonts w:ascii="Times New Roman" w:eastAsia="Times New Roman" w:hAnsi="Times New Roman" w:cs="Times New Roman"/>
                <w:b/>
                <w:sz w:val="13"/>
              </w:rPr>
              <w:t xml:space="preserve">              5,492,190,650</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6" w:firstLine="0"/>
              <w:jc w:val="left"/>
            </w:pPr>
            <w:r>
              <w:rPr>
                <w:rFonts w:ascii="Times New Roman" w:eastAsia="Times New Roman" w:hAnsi="Times New Roman" w:cs="Times New Roman"/>
                <w:b/>
                <w:sz w:val="13"/>
              </w:rPr>
              <w:t xml:space="preserve">                6,041,409,715</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6,645,550,686</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114</w:t>
            </w:r>
          </w:p>
        </w:tc>
      </w:tr>
      <w:tr w:rsidR="001C682A">
        <w:tblPrEx>
          <w:tblCellMar>
            <w:top w:w="0" w:type="dxa"/>
            <w:left w:w="21" w:type="dxa"/>
            <w:right w:w="4" w:type="dxa"/>
          </w:tblCellMar>
        </w:tblPrEx>
        <w:trPr>
          <w:trHeight w:val="142"/>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115</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115</w:t>
            </w:r>
          </w:p>
        </w:tc>
      </w:tr>
      <w:tr w:rsidR="001C682A">
        <w:tblPrEx>
          <w:tblCellMar>
            <w:top w:w="0" w:type="dxa"/>
            <w:left w:w="21" w:type="dxa"/>
            <w:right w:w="4" w:type="dxa"/>
          </w:tblCellMar>
        </w:tblPrEx>
        <w:trPr>
          <w:trHeight w:val="168"/>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116</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SIGNATURE BONUS</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350,521,054,200</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343,380,980,160</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b/>
                <w:sz w:val="13"/>
              </w:rPr>
              <w:t xml:space="preserve">              35,876,085,192</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1" w:firstLine="0"/>
              <w:jc w:val="left"/>
            </w:pPr>
            <w:r>
              <w:rPr>
                <w:rFonts w:ascii="Times New Roman" w:eastAsia="Times New Roman" w:hAnsi="Times New Roman" w:cs="Times New Roman"/>
                <w:b/>
                <w:sz w:val="13"/>
              </w:rPr>
              <w:t xml:space="preserve">                                  -</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116</w:t>
            </w:r>
          </w:p>
        </w:tc>
      </w:tr>
      <w:tr w:rsidR="001C682A">
        <w:tblPrEx>
          <w:tblCellMar>
            <w:top w:w="0" w:type="dxa"/>
            <w:left w:w="21" w:type="dxa"/>
            <w:right w:w="4" w:type="dxa"/>
          </w:tblCellMar>
        </w:tblPrEx>
        <w:trPr>
          <w:trHeight w:val="103"/>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117</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117</w:t>
            </w:r>
          </w:p>
        </w:tc>
      </w:tr>
      <w:tr w:rsidR="001C682A">
        <w:tblPrEx>
          <w:tblCellMar>
            <w:top w:w="0" w:type="dxa"/>
            <w:left w:w="21" w:type="dxa"/>
            <w:right w:w="4" w:type="dxa"/>
          </w:tblCellMar>
        </w:tblPrEx>
        <w:trPr>
          <w:trHeight w:val="194"/>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118</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NON-OIL REVENUE</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118</w:t>
            </w:r>
          </w:p>
        </w:tc>
      </w:tr>
      <w:tr w:rsidR="001C682A">
        <w:tblPrEx>
          <w:tblCellMar>
            <w:top w:w="0" w:type="dxa"/>
            <w:left w:w="21" w:type="dxa"/>
            <w:right w:w="4" w:type="dxa"/>
          </w:tblCellMar>
        </w:tblPrEx>
        <w:trPr>
          <w:trHeight w:val="175"/>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lastRenderedPageBreak/>
              <w:t>119</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 xml:space="preserve">Corporate Tax </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u w:val="single" w:color="000000"/>
              </w:rPr>
              <w:t xml:space="preserve">       1,798,617,662,965</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u w:val="single" w:color="000000"/>
              </w:rPr>
              <w:t xml:space="preserve">       1,496,529,236,236</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b/>
                <w:sz w:val="13"/>
                <w:u w:val="single" w:color="000000"/>
              </w:rPr>
              <w:t xml:space="preserve">         1,886,017,658,963</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b/>
                <w:sz w:val="13"/>
                <w:u w:val="single" w:color="000000"/>
              </w:rPr>
              <w:t xml:space="preserve">         1,946,016,133,951</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119</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120</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Companies Income Tax</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1,540,399,276,594</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1,274,801,531,567</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1,606,582,846,490</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1,657,691,869,925</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120</w:t>
            </w:r>
          </w:p>
        </w:tc>
      </w:tr>
      <w:tr w:rsidR="001C682A">
        <w:tblPrEx>
          <w:tblCellMar>
            <w:top w:w="0" w:type="dxa"/>
            <w:left w:w="21" w:type="dxa"/>
            <w:right w:w="4" w:type="dxa"/>
          </w:tblCellMar>
        </w:tblPrEx>
        <w:trPr>
          <w:trHeight w:val="162"/>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121</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NLNG Tax</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227,487,217,263</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202,070,326,095</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254,661,381,910</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262,762,734,768</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121</w:t>
            </w:r>
          </w:p>
        </w:tc>
      </w:tr>
      <w:tr w:rsidR="001C682A">
        <w:tblPrEx>
          <w:tblCellMar>
            <w:top w:w="0" w:type="dxa"/>
            <w:left w:w="21" w:type="dxa"/>
            <w:right w:w="4" w:type="dxa"/>
          </w:tblCellMar>
        </w:tblPrEx>
        <w:trPr>
          <w:trHeight w:val="194"/>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122</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Stamp Duties</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17,192,462,425</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12,398,869,904</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15,625,814,067</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16,122,906,451</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122</w:t>
            </w:r>
          </w:p>
        </w:tc>
      </w:tr>
      <w:tr w:rsidR="001C682A">
        <w:tblPrEx>
          <w:tblCellMar>
            <w:top w:w="0" w:type="dxa"/>
            <w:left w:w="21" w:type="dxa"/>
            <w:right w:w="4" w:type="dxa"/>
          </w:tblCellMar>
        </w:tblPrEx>
        <w:trPr>
          <w:trHeight w:val="194"/>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123</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Capital Gains Tax</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13,538,706,682</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7,258,508,670</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9,147,616,497</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9,438,622,807</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123</w:t>
            </w:r>
          </w:p>
        </w:tc>
      </w:tr>
      <w:tr w:rsidR="001C682A">
        <w:tblPrEx>
          <w:tblCellMar>
            <w:top w:w="0" w:type="dxa"/>
            <w:left w:w="21" w:type="dxa"/>
            <w:right w:w="4" w:type="dxa"/>
          </w:tblCellMar>
        </w:tblPrEx>
        <w:trPr>
          <w:trHeight w:val="159"/>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124</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Value-Added Tax</w:t>
            </w:r>
          </w:p>
        </w:tc>
        <w:tc>
          <w:tcPr>
            <w:tcW w:w="1212" w:type="dxa"/>
            <w:gridSpan w:val="2"/>
            <w:tcBorders>
              <w:top w:val="single" w:sz="3" w:space="0" w:color="000000"/>
              <w:left w:val="single" w:sz="2" w:space="0" w:color="000000"/>
              <w:bottom w:val="double" w:sz="4"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2,190,615,599,087</w:t>
            </w:r>
          </w:p>
        </w:tc>
        <w:tc>
          <w:tcPr>
            <w:tcW w:w="1209" w:type="dxa"/>
            <w:gridSpan w:val="2"/>
            <w:tcBorders>
              <w:top w:val="single" w:sz="3" w:space="0" w:color="000000"/>
              <w:left w:val="single" w:sz="2" w:space="0" w:color="000000"/>
              <w:bottom w:val="double" w:sz="4"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1,838,346,807,579</w:t>
            </w:r>
          </w:p>
        </w:tc>
        <w:tc>
          <w:tcPr>
            <w:tcW w:w="1262" w:type="dxa"/>
            <w:gridSpan w:val="2"/>
            <w:tcBorders>
              <w:top w:val="single" w:sz="3" w:space="0" w:color="000000"/>
              <w:left w:val="single" w:sz="2" w:space="0" w:color="000000"/>
              <w:bottom w:val="double" w:sz="4"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b/>
                <w:sz w:val="13"/>
              </w:rPr>
              <w:t xml:space="preserve">         1,958,312,755,901</w:t>
            </w:r>
          </w:p>
        </w:tc>
        <w:tc>
          <w:tcPr>
            <w:tcW w:w="1259" w:type="dxa"/>
            <w:gridSpan w:val="3"/>
            <w:tcBorders>
              <w:top w:val="single" w:sz="3" w:space="0" w:color="000000"/>
              <w:left w:val="single" w:sz="2" w:space="0" w:color="000000"/>
              <w:bottom w:val="double" w:sz="4"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b/>
                <w:sz w:val="13"/>
              </w:rPr>
              <w:t xml:space="preserve">         2,028,355,868,636</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124</w:t>
            </w:r>
          </w:p>
        </w:tc>
      </w:tr>
      <w:tr w:rsidR="001C682A">
        <w:tblPrEx>
          <w:tblCellMar>
            <w:top w:w="0" w:type="dxa"/>
            <w:left w:w="21" w:type="dxa"/>
            <w:right w:w="4" w:type="dxa"/>
          </w:tblCellMar>
        </w:tblPrEx>
        <w:trPr>
          <w:trHeight w:val="177"/>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125</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Surcharge on Luxury Items</w:t>
            </w:r>
          </w:p>
        </w:tc>
        <w:tc>
          <w:tcPr>
            <w:tcW w:w="1212" w:type="dxa"/>
            <w:gridSpan w:val="2"/>
            <w:tcBorders>
              <w:top w:val="double" w:sz="4"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w:t>
            </w:r>
          </w:p>
        </w:tc>
        <w:tc>
          <w:tcPr>
            <w:tcW w:w="1209" w:type="dxa"/>
            <w:gridSpan w:val="2"/>
            <w:tcBorders>
              <w:top w:val="double" w:sz="4"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w:t>
            </w:r>
          </w:p>
        </w:tc>
        <w:tc>
          <w:tcPr>
            <w:tcW w:w="1262" w:type="dxa"/>
            <w:gridSpan w:val="2"/>
            <w:tcBorders>
              <w:top w:val="double" w:sz="4" w:space="0" w:color="000000"/>
              <w:left w:val="single" w:sz="2" w:space="0" w:color="00000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 xml:space="preserve">                                  -</w:t>
            </w:r>
          </w:p>
        </w:tc>
        <w:tc>
          <w:tcPr>
            <w:tcW w:w="1259" w:type="dxa"/>
            <w:gridSpan w:val="3"/>
            <w:tcBorders>
              <w:top w:val="double" w:sz="4" w:space="0" w:color="000000"/>
              <w:left w:val="single" w:sz="2" w:space="0" w:color="000000"/>
              <w:bottom w:val="single" w:sz="3" w:space="0" w:color="000000"/>
              <w:right w:val="single" w:sz="2" w:space="0" w:color="000000"/>
            </w:tcBorders>
          </w:tcPr>
          <w:p w:rsidR="001C682A" w:rsidRDefault="00B03C38">
            <w:pPr>
              <w:spacing w:after="0" w:line="259" w:lineRule="auto"/>
              <w:ind w:left="41" w:firstLine="0"/>
              <w:jc w:val="left"/>
            </w:pPr>
            <w:r>
              <w:rPr>
                <w:rFonts w:ascii="Times New Roman" w:eastAsia="Times New Roman" w:hAnsi="Times New Roman" w:cs="Times New Roman"/>
                <w:sz w:val="13"/>
              </w:rPr>
              <w:t xml:space="preserve">                                  -</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125</w:t>
            </w:r>
          </w:p>
        </w:tc>
      </w:tr>
      <w:tr w:rsidR="001C682A">
        <w:tblPrEx>
          <w:tblCellMar>
            <w:top w:w="0" w:type="dxa"/>
            <w:left w:w="21" w:type="dxa"/>
            <w:right w:w="4" w:type="dxa"/>
          </w:tblCellMar>
        </w:tblPrEx>
        <w:trPr>
          <w:trHeight w:val="156"/>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126</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 xml:space="preserve">Customs </w:t>
            </w:r>
          </w:p>
        </w:tc>
        <w:tc>
          <w:tcPr>
            <w:tcW w:w="1212" w:type="dxa"/>
            <w:gridSpan w:val="2"/>
            <w:tcBorders>
              <w:top w:val="single" w:sz="3" w:space="0" w:color="000000"/>
              <w:left w:val="single" w:sz="2" w:space="0" w:color="000000"/>
              <w:bottom w:val="single" w:sz="8"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1,156,771,315,633</w:t>
            </w:r>
          </w:p>
        </w:tc>
        <w:tc>
          <w:tcPr>
            <w:tcW w:w="1209" w:type="dxa"/>
            <w:gridSpan w:val="2"/>
            <w:tcBorders>
              <w:top w:val="single" w:sz="3" w:space="0" w:color="000000"/>
              <w:left w:val="single" w:sz="2" w:space="0" w:color="000000"/>
              <w:bottom w:val="single" w:sz="8"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1,267,349,611,699</w:t>
            </w:r>
          </w:p>
        </w:tc>
        <w:tc>
          <w:tcPr>
            <w:tcW w:w="1262" w:type="dxa"/>
            <w:gridSpan w:val="2"/>
            <w:tcBorders>
              <w:top w:val="single" w:sz="3" w:space="0" w:color="000000"/>
              <w:left w:val="single" w:sz="2" w:space="0" w:color="000000"/>
              <w:bottom w:val="single" w:sz="8"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b/>
                <w:sz w:val="13"/>
              </w:rPr>
              <w:t xml:space="preserve">         1,479,920,164,986</w:t>
            </w:r>
          </w:p>
        </w:tc>
        <w:tc>
          <w:tcPr>
            <w:tcW w:w="1259" w:type="dxa"/>
            <w:gridSpan w:val="3"/>
            <w:tcBorders>
              <w:top w:val="single" w:sz="3" w:space="0" w:color="000000"/>
              <w:left w:val="single" w:sz="2" w:space="0" w:color="000000"/>
              <w:bottom w:val="single" w:sz="8"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b/>
                <w:sz w:val="13"/>
              </w:rPr>
              <w:t xml:space="preserve">         1,526,999,762,879</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126</w:t>
            </w:r>
          </w:p>
        </w:tc>
      </w:tr>
      <w:tr w:rsidR="001C682A">
        <w:tblPrEx>
          <w:tblCellMar>
            <w:top w:w="0" w:type="dxa"/>
            <w:left w:w="21" w:type="dxa"/>
            <w:right w:w="4" w:type="dxa"/>
          </w:tblCellMar>
        </w:tblPrEx>
        <w:trPr>
          <w:trHeight w:val="199"/>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127</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i/>
                <w:sz w:val="13"/>
              </w:rPr>
              <w:t>Main Federation Account</w:t>
            </w:r>
          </w:p>
        </w:tc>
        <w:tc>
          <w:tcPr>
            <w:tcW w:w="1212" w:type="dxa"/>
            <w:gridSpan w:val="2"/>
            <w:tcBorders>
              <w:top w:val="single" w:sz="8"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b/>
                <w:i/>
                <w:sz w:val="13"/>
              </w:rPr>
              <w:t xml:space="preserve">       1,004,239,295,104</w:t>
            </w:r>
          </w:p>
        </w:tc>
        <w:tc>
          <w:tcPr>
            <w:tcW w:w="1209" w:type="dxa"/>
            <w:gridSpan w:val="2"/>
            <w:tcBorders>
              <w:top w:val="single" w:sz="8"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b/>
                <w:i/>
                <w:sz w:val="13"/>
              </w:rPr>
              <w:t xml:space="preserve">       1,132,521,262,419</w:t>
            </w:r>
          </w:p>
        </w:tc>
        <w:tc>
          <w:tcPr>
            <w:tcW w:w="1262" w:type="dxa"/>
            <w:gridSpan w:val="2"/>
            <w:tcBorders>
              <w:top w:val="single" w:sz="8" w:space="0" w:color="000000"/>
              <w:left w:val="single" w:sz="2" w:space="0" w:color="000000"/>
              <w:bottom w:val="single" w:sz="3" w:space="0" w:color="000000"/>
              <w:right w:val="single" w:sz="2" w:space="0" w:color="000000"/>
            </w:tcBorders>
          </w:tcPr>
          <w:p w:rsidR="001C682A" w:rsidRDefault="00B03C38">
            <w:pPr>
              <w:spacing w:after="0" w:line="259" w:lineRule="auto"/>
              <w:ind w:left="56" w:firstLine="0"/>
              <w:jc w:val="left"/>
            </w:pPr>
            <w:r>
              <w:rPr>
                <w:rFonts w:ascii="Times New Roman" w:eastAsia="Times New Roman" w:hAnsi="Times New Roman" w:cs="Times New Roman"/>
                <w:b/>
                <w:i/>
                <w:sz w:val="13"/>
              </w:rPr>
              <w:t xml:space="preserve">        1,326,909,060,441</w:t>
            </w:r>
          </w:p>
        </w:tc>
        <w:tc>
          <w:tcPr>
            <w:tcW w:w="1259" w:type="dxa"/>
            <w:gridSpan w:val="3"/>
            <w:tcBorders>
              <w:top w:val="single" w:sz="8"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i/>
                <w:sz w:val="13"/>
              </w:rPr>
              <w:t xml:space="preserve">        1,369,121,030,035</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127</w:t>
            </w:r>
          </w:p>
        </w:tc>
      </w:tr>
      <w:tr w:rsidR="001C682A">
        <w:tblPrEx>
          <w:tblCellMar>
            <w:top w:w="0" w:type="dxa"/>
            <w:left w:w="21" w:type="dxa"/>
            <w:right w:w="4" w:type="dxa"/>
          </w:tblCellMar>
        </w:tblPrEx>
        <w:trPr>
          <w:trHeight w:val="168"/>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128</w:t>
            </w:r>
          </w:p>
        </w:tc>
        <w:tc>
          <w:tcPr>
            <w:tcW w:w="426"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2" w:firstLine="0"/>
              <w:jc w:val="right"/>
            </w:pPr>
            <w:r>
              <w:rPr>
                <w:rFonts w:ascii="Times New Roman" w:eastAsia="Times New Roman" w:hAnsi="Times New Roman" w:cs="Times New Roman"/>
                <w:sz w:val="13"/>
              </w:rPr>
              <w:t>Import</w:t>
            </w:r>
          </w:p>
        </w:tc>
        <w:tc>
          <w:tcPr>
            <w:tcW w:w="3577"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923,761,997,840</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1,031,726,870,063</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1,208,814,154,062</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1,247,269,258,362</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128</w:t>
            </w:r>
          </w:p>
        </w:tc>
      </w:tr>
      <w:tr w:rsidR="001C682A">
        <w:tblPrEx>
          <w:tblCellMar>
            <w:top w:w="0" w:type="dxa"/>
            <w:left w:w="21" w:type="dxa"/>
            <w:right w:w="4" w:type="dxa"/>
          </w:tblCellMar>
        </w:tblPrEx>
        <w:trPr>
          <w:trHeight w:val="174"/>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129</w:t>
            </w:r>
          </w:p>
        </w:tc>
        <w:tc>
          <w:tcPr>
            <w:tcW w:w="426"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sz w:val="13"/>
              </w:rPr>
              <w:t>Excise</w:t>
            </w:r>
          </w:p>
        </w:tc>
        <w:tc>
          <w:tcPr>
            <w:tcW w:w="3577"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78,668,818,674</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98,529,349,830</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115,441,088,258</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119,113,529,613</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129</w:t>
            </w:r>
          </w:p>
        </w:tc>
      </w:tr>
      <w:tr w:rsidR="001C682A">
        <w:tblPrEx>
          <w:tblCellMar>
            <w:top w:w="0" w:type="dxa"/>
            <w:left w:w="21" w:type="dxa"/>
            <w:right w:w="4" w:type="dxa"/>
          </w:tblCellMar>
        </w:tblPrEx>
        <w:trPr>
          <w:trHeight w:val="168"/>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130</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Fees</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1,808,478,590</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2,265,042,525</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2,653,818,121</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2,738,242,060</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130</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131</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i/>
                <w:sz w:val="13"/>
              </w:rPr>
              <w:t>Special levies (Federation Account)</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b/>
                <w:i/>
                <w:sz w:val="13"/>
              </w:rPr>
              <w:t xml:space="preserve">          152,532,020,529</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b/>
                <w:i/>
                <w:sz w:val="13"/>
              </w:rPr>
              <w:t xml:space="preserve">          134,828,349,280</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6" w:firstLine="0"/>
              <w:jc w:val="left"/>
            </w:pPr>
            <w:r>
              <w:rPr>
                <w:rFonts w:ascii="Times New Roman" w:eastAsia="Times New Roman" w:hAnsi="Times New Roman" w:cs="Times New Roman"/>
                <w:b/>
                <w:i/>
                <w:sz w:val="13"/>
              </w:rPr>
              <w:t xml:space="preserve">           153,011,104,544</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i/>
                <w:sz w:val="13"/>
              </w:rPr>
              <w:t xml:space="preserve">           157,878,732,843</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131</w:t>
            </w:r>
          </w:p>
        </w:tc>
      </w:tr>
      <w:tr w:rsidR="001C682A">
        <w:tblPrEx>
          <w:tblCellMar>
            <w:top w:w="0" w:type="dxa"/>
            <w:left w:w="21" w:type="dxa"/>
            <w:right w:w="4" w:type="dxa"/>
          </w:tblCellMar>
        </w:tblPrEx>
        <w:trPr>
          <w:trHeight w:val="170"/>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132</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FGN Independent Revenue</w:t>
            </w:r>
          </w:p>
        </w:tc>
        <w:tc>
          <w:tcPr>
            <w:tcW w:w="1212" w:type="dxa"/>
            <w:gridSpan w:val="2"/>
            <w:tcBorders>
              <w:top w:val="single" w:sz="3" w:space="0" w:color="000000"/>
              <w:left w:val="single" w:sz="2" w:space="0" w:color="000000"/>
              <w:bottom w:val="single" w:sz="5"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b/>
                <w:sz w:val="13"/>
              </w:rPr>
              <w:t xml:space="preserve">          932,842,266,640</w:t>
            </w:r>
          </w:p>
        </w:tc>
        <w:tc>
          <w:tcPr>
            <w:tcW w:w="1209" w:type="dxa"/>
            <w:gridSpan w:val="2"/>
            <w:tcBorders>
              <w:top w:val="single" w:sz="3" w:space="0" w:color="000000"/>
              <w:left w:val="single" w:sz="2" w:space="0" w:color="000000"/>
              <w:bottom w:val="single" w:sz="5"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b/>
                <w:sz w:val="13"/>
              </w:rPr>
              <w:t xml:space="preserve">          961,898,590,939</w:t>
            </w:r>
          </w:p>
        </w:tc>
        <w:tc>
          <w:tcPr>
            <w:tcW w:w="1262" w:type="dxa"/>
            <w:gridSpan w:val="2"/>
            <w:tcBorders>
              <w:top w:val="single" w:sz="3" w:space="0" w:color="000000"/>
              <w:left w:val="single" w:sz="2" w:space="0" w:color="000000"/>
              <w:bottom w:val="single" w:sz="5" w:space="0" w:color="000000"/>
              <w:right w:val="single" w:sz="2" w:space="0" w:color="000000"/>
            </w:tcBorders>
          </w:tcPr>
          <w:p w:rsidR="001C682A" w:rsidRDefault="00B03C38">
            <w:pPr>
              <w:spacing w:after="0" w:line="259" w:lineRule="auto"/>
              <w:ind w:left="56" w:firstLine="0"/>
              <w:jc w:val="left"/>
            </w:pPr>
            <w:r>
              <w:rPr>
                <w:rFonts w:ascii="Times New Roman" w:eastAsia="Times New Roman" w:hAnsi="Times New Roman" w:cs="Times New Roman"/>
                <w:b/>
                <w:sz w:val="13"/>
              </w:rPr>
              <w:t xml:space="preserve">         1,054,984,221,846</w:t>
            </w:r>
          </w:p>
        </w:tc>
        <w:tc>
          <w:tcPr>
            <w:tcW w:w="1259" w:type="dxa"/>
            <w:gridSpan w:val="3"/>
            <w:tcBorders>
              <w:top w:val="single" w:sz="3" w:space="0" w:color="000000"/>
              <w:left w:val="single" w:sz="2" w:space="0" w:color="000000"/>
              <w:bottom w:val="single" w:sz="5"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1,186,634,579,635</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132</w:t>
            </w:r>
          </w:p>
        </w:tc>
      </w:tr>
      <w:tr w:rsidR="001C682A">
        <w:tblPrEx>
          <w:tblCellMar>
            <w:top w:w="0" w:type="dxa"/>
            <w:left w:w="21" w:type="dxa"/>
            <w:right w:w="4" w:type="dxa"/>
          </w:tblCellMar>
        </w:tblPrEx>
        <w:trPr>
          <w:trHeight w:val="19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133</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Total Non-Oil Revenue</w:t>
            </w:r>
          </w:p>
        </w:tc>
        <w:tc>
          <w:tcPr>
            <w:tcW w:w="1212" w:type="dxa"/>
            <w:gridSpan w:val="2"/>
            <w:tcBorders>
              <w:top w:val="single" w:sz="5"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6,078,846,844,325</w:t>
            </w:r>
          </w:p>
        </w:tc>
        <w:tc>
          <w:tcPr>
            <w:tcW w:w="1209" w:type="dxa"/>
            <w:gridSpan w:val="2"/>
            <w:tcBorders>
              <w:top w:val="single" w:sz="5"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5,564,124,246,453</w:t>
            </w:r>
          </w:p>
        </w:tc>
        <w:tc>
          <w:tcPr>
            <w:tcW w:w="1262" w:type="dxa"/>
            <w:gridSpan w:val="2"/>
            <w:tcBorders>
              <w:top w:val="single" w:sz="5"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b/>
                <w:sz w:val="13"/>
              </w:rPr>
              <w:t xml:space="preserve">         6,379,234,801,696</w:t>
            </w:r>
          </w:p>
        </w:tc>
        <w:tc>
          <w:tcPr>
            <w:tcW w:w="1259" w:type="dxa"/>
            <w:gridSpan w:val="3"/>
            <w:tcBorders>
              <w:top w:val="single" w:sz="5"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b/>
                <w:sz w:val="13"/>
              </w:rPr>
              <w:t xml:space="preserve">         6,688,006,345,100</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133</w:t>
            </w:r>
          </w:p>
        </w:tc>
      </w:tr>
      <w:tr w:rsidR="001C682A">
        <w:tblPrEx>
          <w:tblCellMar>
            <w:top w:w="0" w:type="dxa"/>
            <w:left w:w="21" w:type="dxa"/>
            <w:right w:w="4" w:type="dxa"/>
          </w:tblCellMar>
        </w:tblPrEx>
        <w:trPr>
          <w:trHeight w:val="175"/>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134</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Costs and Deductions</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3,300,376,564,340</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2,972,821,040,786</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b/>
                <w:sz w:val="13"/>
              </w:rPr>
              <w:t xml:space="preserve">         3,216,332,095,655</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b/>
                <w:sz w:val="13"/>
              </w:rPr>
              <w:t xml:space="preserve">         3,423,721,077,031</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134</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135</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FIRS Tax Refunds</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25,000,000,000</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25,000,000,000</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25,000,000,000</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25,000,000,000</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135</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136</w:t>
            </w:r>
          </w:p>
        </w:tc>
        <w:tc>
          <w:tcPr>
            <w:tcW w:w="426"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4%</w:t>
            </w:r>
          </w:p>
        </w:tc>
        <w:tc>
          <w:tcPr>
            <w:tcW w:w="357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Collection Cost (CIT, Stamp Duties &amp; Capital Gains)</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70,944,706,519</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58,861,169,449</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74,440,706,359</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76,840,645,358</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136</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137</w:t>
            </w:r>
          </w:p>
        </w:tc>
        <w:tc>
          <w:tcPr>
            <w:tcW w:w="426"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4%</w:t>
            </w:r>
          </w:p>
        </w:tc>
        <w:tc>
          <w:tcPr>
            <w:tcW w:w="357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Collection Cost (VAT &amp; Surcharge on Luxury Items)</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87,624,623,963</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73,533,872,303</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78,332,510,236</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81,134,234,745</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137</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138</w:t>
            </w:r>
          </w:p>
        </w:tc>
        <w:tc>
          <w:tcPr>
            <w:tcW w:w="426"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3%</w:t>
            </w:r>
          </w:p>
        </w:tc>
        <w:tc>
          <w:tcPr>
            <w:tcW w:w="357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Transfer to North East Development Commission (NEDC) from VAT</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63,089,729,254</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52,944,388,058</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56,399,407,370</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58,416,649,017</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138</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139</w:t>
            </w:r>
          </w:p>
        </w:tc>
        <w:tc>
          <w:tcPr>
            <w:tcW w:w="426"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0.5%</w:t>
            </w:r>
          </w:p>
        </w:tc>
        <w:tc>
          <w:tcPr>
            <w:tcW w:w="357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Transfer to Nigerian Police Trust Fund from VAT</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10,514,954,876</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8,824,064,676</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9,399,901,228</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9,736,108,169</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blPrEx>
          <w:tblCellMar>
            <w:top w:w="0" w:type="dxa"/>
            <w:left w:w="21" w:type="dxa"/>
            <w:right w:w="4" w:type="dxa"/>
          </w:tblCellMar>
        </w:tblPrEx>
        <w:trPr>
          <w:trHeight w:val="356"/>
        </w:trPr>
        <w:tc>
          <w:tcPr>
            <w:tcW w:w="310" w:type="dxa"/>
            <w:gridSpan w:val="2"/>
            <w:tcBorders>
              <w:top w:val="single" w:sz="3" w:space="0" w:color="000000"/>
              <w:left w:val="single" w:sz="2" w:space="0" w:color="0000D0"/>
              <w:bottom w:val="single" w:sz="3" w:space="0" w:color="000000"/>
              <w:right w:val="single" w:sz="2" w:space="0" w:color="000000"/>
            </w:tcBorders>
            <w:vAlign w:val="center"/>
          </w:tcPr>
          <w:p w:rsidR="001C682A" w:rsidRDefault="00B03C38">
            <w:pPr>
              <w:spacing w:after="0" w:line="259" w:lineRule="auto"/>
              <w:ind w:left="44" w:firstLine="0"/>
              <w:jc w:val="left"/>
            </w:pPr>
            <w:r>
              <w:rPr>
                <w:rFonts w:ascii="Times New Roman" w:eastAsia="Times New Roman" w:hAnsi="Times New Roman" w:cs="Times New Roman"/>
                <w:sz w:val="13"/>
              </w:rPr>
              <w:t>140</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pPr>
            <w:r>
              <w:rPr>
                <w:rFonts w:ascii="Times New Roman" w:eastAsia="Times New Roman" w:hAnsi="Times New Roman" w:cs="Times New Roman"/>
                <w:sz w:val="13"/>
              </w:rPr>
              <w:t>Value-Added Tax &amp; Luxury Surcharge Net of Cost of Collection, and transfers to NEDC and Police Trust Fund</w:t>
            </w:r>
          </w:p>
        </w:tc>
        <w:tc>
          <w:tcPr>
            <w:tcW w:w="1212" w:type="dxa"/>
            <w:gridSpan w:val="2"/>
            <w:tcBorders>
              <w:top w:val="single" w:sz="3" w:space="0" w:color="000000"/>
              <w:left w:val="single" w:sz="2" w:space="0" w:color="000000"/>
              <w:bottom w:val="single" w:sz="3" w:space="0" w:color="000000"/>
              <w:right w:val="single" w:sz="2" w:space="0" w:color="000000"/>
            </w:tcBorders>
            <w:vAlign w:val="center"/>
          </w:tcPr>
          <w:p w:rsidR="001C682A" w:rsidRDefault="00B03C38">
            <w:pPr>
              <w:spacing w:after="0" w:line="259" w:lineRule="auto"/>
              <w:ind w:left="53" w:firstLine="0"/>
              <w:jc w:val="left"/>
            </w:pPr>
            <w:r>
              <w:rPr>
                <w:rFonts w:ascii="Times New Roman" w:eastAsia="Times New Roman" w:hAnsi="Times New Roman" w:cs="Times New Roman"/>
                <w:sz w:val="13"/>
              </w:rPr>
              <w:t xml:space="preserve">       2,029,386,290,994</w:t>
            </w:r>
          </w:p>
        </w:tc>
        <w:tc>
          <w:tcPr>
            <w:tcW w:w="1209" w:type="dxa"/>
            <w:gridSpan w:val="2"/>
            <w:tcBorders>
              <w:top w:val="single" w:sz="3" w:space="0" w:color="000000"/>
              <w:left w:val="single" w:sz="2" w:space="0" w:color="000000"/>
              <w:bottom w:val="single" w:sz="3" w:space="0" w:color="000000"/>
              <w:right w:val="single" w:sz="2" w:space="0" w:color="000000"/>
            </w:tcBorders>
            <w:vAlign w:val="center"/>
          </w:tcPr>
          <w:p w:rsidR="001C682A" w:rsidRDefault="00B03C38">
            <w:pPr>
              <w:spacing w:after="0" w:line="259" w:lineRule="auto"/>
              <w:ind w:left="53" w:firstLine="0"/>
              <w:jc w:val="left"/>
            </w:pPr>
            <w:r>
              <w:rPr>
                <w:rFonts w:ascii="Times New Roman" w:eastAsia="Times New Roman" w:hAnsi="Times New Roman" w:cs="Times New Roman"/>
                <w:sz w:val="13"/>
              </w:rPr>
              <w:t xml:space="preserve">       1,703,044,482,541</w:t>
            </w:r>
          </w:p>
        </w:tc>
        <w:tc>
          <w:tcPr>
            <w:tcW w:w="1262" w:type="dxa"/>
            <w:gridSpan w:val="2"/>
            <w:tcBorders>
              <w:top w:val="single" w:sz="3" w:space="0" w:color="000000"/>
              <w:left w:val="single" w:sz="2" w:space="0" w:color="000000"/>
              <w:bottom w:val="single" w:sz="3" w:space="0" w:color="000000"/>
              <w:right w:val="single" w:sz="2" w:space="0" w:color="000000"/>
            </w:tcBorders>
            <w:vAlign w:val="center"/>
          </w:tcPr>
          <w:p w:rsidR="001C682A" w:rsidRDefault="00B03C38">
            <w:pPr>
              <w:spacing w:after="0" w:line="259" w:lineRule="auto"/>
              <w:ind w:left="50" w:firstLine="0"/>
              <w:jc w:val="left"/>
            </w:pPr>
            <w:r>
              <w:rPr>
                <w:rFonts w:ascii="Times New Roman" w:eastAsia="Times New Roman" w:hAnsi="Times New Roman" w:cs="Times New Roman"/>
                <w:sz w:val="13"/>
              </w:rPr>
              <w:t xml:space="preserve">         1,814,180,937,067</w:t>
            </w:r>
          </w:p>
        </w:tc>
        <w:tc>
          <w:tcPr>
            <w:tcW w:w="1259" w:type="dxa"/>
            <w:gridSpan w:val="3"/>
            <w:tcBorders>
              <w:top w:val="single" w:sz="3" w:space="0" w:color="000000"/>
              <w:left w:val="single" w:sz="2" w:space="0" w:color="000000"/>
              <w:bottom w:val="single" w:sz="3" w:space="0" w:color="000000"/>
              <w:right w:val="single" w:sz="2" w:space="0" w:color="000000"/>
            </w:tcBorders>
            <w:vAlign w:val="center"/>
          </w:tcPr>
          <w:p w:rsidR="001C682A" w:rsidRDefault="00B03C38">
            <w:pPr>
              <w:spacing w:after="0" w:line="259" w:lineRule="auto"/>
              <w:ind w:left="47" w:firstLine="0"/>
              <w:jc w:val="left"/>
            </w:pPr>
            <w:r>
              <w:rPr>
                <w:rFonts w:ascii="Times New Roman" w:eastAsia="Times New Roman" w:hAnsi="Times New Roman" w:cs="Times New Roman"/>
                <w:sz w:val="13"/>
              </w:rPr>
              <w:t xml:space="preserve">         1,879,068,876,704</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140</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141</w:t>
            </w:r>
          </w:p>
        </w:tc>
        <w:tc>
          <w:tcPr>
            <w:tcW w:w="426"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1"/>
              </w:rPr>
              <w:t>7%</w:t>
            </w:r>
          </w:p>
        </w:tc>
        <w:tc>
          <w:tcPr>
            <w:tcW w:w="357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Cost of Collection (Duty, Excise &amp; Fees)</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70,296,750,657</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79,276,488,369</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92,883,634,231</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95,838,472,102</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141</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142</w:t>
            </w:r>
          </w:p>
        </w:tc>
        <w:tc>
          <w:tcPr>
            <w:tcW w:w="426"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7%</w:t>
            </w:r>
          </w:p>
        </w:tc>
        <w:tc>
          <w:tcPr>
            <w:tcW w:w="357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Cost of Collection (Spec. Levies -Fed. Acct.)</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10,677,241,437</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9,437,984,450</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10,710,777,318</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11,051,511,299</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142</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143</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FGN Independent Revenue</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932,842,266,640</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961,898,590,939</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1,054,984,221,846</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1,186,634,579,635</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143</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144</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Net Non-Oil Revenue after Costs &amp; Deductions</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2,778,470,279,985</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2,591,303,205,667</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b/>
                <w:sz w:val="13"/>
              </w:rPr>
              <w:t xml:space="preserve">         3,162,902,706,041</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b/>
                <w:sz w:val="13"/>
              </w:rPr>
              <w:t xml:space="preserve">         3,264,285,268,070</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144</w:t>
            </w:r>
          </w:p>
        </w:tc>
      </w:tr>
      <w:tr w:rsidR="001C682A">
        <w:tblPrEx>
          <w:tblCellMar>
            <w:top w:w="0" w:type="dxa"/>
            <w:left w:w="21" w:type="dxa"/>
            <w:right w:w="4" w:type="dxa"/>
          </w:tblCellMar>
        </w:tblPrEx>
        <w:trPr>
          <w:trHeight w:val="104"/>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145</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145</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146</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NET FEDERATION ACCOUNT (MAIN POOL)</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4,893,871,873,398</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6,716,252,560,381</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b/>
                <w:sz w:val="13"/>
              </w:rPr>
              <w:t xml:space="preserve">         7,863,988,644,285</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b/>
                <w:sz w:val="13"/>
              </w:rPr>
              <w:t xml:space="preserve">         8,633,955,060,301</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146</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147</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Transfer to Police Trust Fund (0.5% of Fed. Acct.)</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24,469,359,367</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41,588,404,181</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45,325,299,256</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47,673,792,327</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147</w:t>
            </w:r>
          </w:p>
        </w:tc>
      </w:tr>
      <w:tr w:rsidR="001C682A">
        <w:tblPrEx>
          <w:tblCellMar>
            <w:top w:w="0" w:type="dxa"/>
            <w:left w:w="21" w:type="dxa"/>
            <w:right w:w="4" w:type="dxa"/>
          </w:tblCellMar>
        </w:tblPrEx>
        <w:trPr>
          <w:trHeight w:val="362"/>
        </w:trPr>
        <w:tc>
          <w:tcPr>
            <w:tcW w:w="310" w:type="dxa"/>
            <w:gridSpan w:val="2"/>
            <w:tcBorders>
              <w:top w:val="single" w:sz="3" w:space="0" w:color="000000"/>
              <w:left w:val="single" w:sz="2" w:space="0" w:color="0000D0"/>
              <w:bottom w:val="single" w:sz="3" w:space="0" w:color="000000"/>
              <w:right w:val="single" w:sz="2" w:space="0" w:color="000000"/>
            </w:tcBorders>
            <w:vAlign w:val="center"/>
          </w:tcPr>
          <w:p w:rsidR="001C682A" w:rsidRDefault="00B03C38">
            <w:pPr>
              <w:spacing w:after="0" w:line="259" w:lineRule="auto"/>
              <w:ind w:left="44" w:firstLine="0"/>
              <w:jc w:val="left"/>
            </w:pPr>
            <w:r>
              <w:rPr>
                <w:rFonts w:ascii="Times New Roman" w:eastAsia="Times New Roman" w:hAnsi="Times New Roman" w:cs="Times New Roman"/>
                <w:sz w:val="13"/>
              </w:rPr>
              <w:t>148</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pPr>
            <w:r>
              <w:rPr>
                <w:rFonts w:ascii="Times New Roman" w:eastAsia="Times New Roman" w:hAnsi="Times New Roman" w:cs="Times New Roman"/>
                <w:b/>
                <w:sz w:val="13"/>
              </w:rPr>
              <w:t>NET FEDERATION ACCOUNT - MAIN POOL (after 0.5% transfer to Police Trust Fund)</w:t>
            </w:r>
          </w:p>
        </w:tc>
        <w:tc>
          <w:tcPr>
            <w:tcW w:w="1212" w:type="dxa"/>
            <w:gridSpan w:val="2"/>
            <w:tcBorders>
              <w:top w:val="single" w:sz="3" w:space="0" w:color="000000"/>
              <w:left w:val="single" w:sz="2" w:space="0" w:color="000000"/>
              <w:bottom w:val="single" w:sz="3" w:space="0" w:color="000000"/>
              <w:right w:val="single" w:sz="2" w:space="0" w:color="000000"/>
            </w:tcBorders>
            <w:vAlign w:val="center"/>
          </w:tcPr>
          <w:p w:rsidR="001C682A" w:rsidRDefault="00B03C38">
            <w:pPr>
              <w:spacing w:after="0" w:line="259" w:lineRule="auto"/>
              <w:ind w:left="53" w:firstLine="0"/>
              <w:jc w:val="left"/>
            </w:pPr>
            <w:r>
              <w:rPr>
                <w:rFonts w:ascii="Times New Roman" w:eastAsia="Times New Roman" w:hAnsi="Times New Roman" w:cs="Times New Roman"/>
                <w:b/>
                <w:sz w:val="13"/>
              </w:rPr>
              <w:t xml:space="preserve">       4,869,402,514,031</w:t>
            </w:r>
          </w:p>
        </w:tc>
        <w:tc>
          <w:tcPr>
            <w:tcW w:w="1209" w:type="dxa"/>
            <w:gridSpan w:val="2"/>
            <w:tcBorders>
              <w:top w:val="single" w:sz="3" w:space="0" w:color="000000"/>
              <w:left w:val="single" w:sz="2" w:space="0" w:color="000000"/>
              <w:bottom w:val="single" w:sz="3" w:space="0" w:color="000000"/>
              <w:right w:val="single" w:sz="2" w:space="0" w:color="000000"/>
            </w:tcBorders>
            <w:vAlign w:val="center"/>
          </w:tcPr>
          <w:p w:rsidR="001C682A" w:rsidRDefault="00B03C38">
            <w:pPr>
              <w:spacing w:after="0" w:line="259" w:lineRule="auto"/>
              <w:ind w:left="53" w:firstLine="0"/>
              <w:jc w:val="left"/>
            </w:pPr>
            <w:r>
              <w:rPr>
                <w:rFonts w:ascii="Times New Roman" w:eastAsia="Times New Roman" w:hAnsi="Times New Roman" w:cs="Times New Roman"/>
                <w:b/>
                <w:sz w:val="13"/>
              </w:rPr>
              <w:t xml:space="preserve">       6,674,664,156,200</w:t>
            </w:r>
          </w:p>
        </w:tc>
        <w:tc>
          <w:tcPr>
            <w:tcW w:w="1262" w:type="dxa"/>
            <w:gridSpan w:val="2"/>
            <w:tcBorders>
              <w:top w:val="single" w:sz="3" w:space="0" w:color="000000"/>
              <w:left w:val="single" w:sz="2" w:space="0" w:color="000000"/>
              <w:bottom w:val="single" w:sz="3" w:space="0" w:color="000000"/>
              <w:right w:val="single" w:sz="2" w:space="0" w:color="000000"/>
            </w:tcBorders>
            <w:vAlign w:val="center"/>
          </w:tcPr>
          <w:p w:rsidR="001C682A" w:rsidRDefault="00B03C38">
            <w:pPr>
              <w:spacing w:after="0" w:line="259" w:lineRule="auto"/>
              <w:ind w:left="50" w:firstLine="0"/>
              <w:jc w:val="left"/>
            </w:pPr>
            <w:r>
              <w:rPr>
                <w:rFonts w:ascii="Times New Roman" w:eastAsia="Times New Roman" w:hAnsi="Times New Roman" w:cs="Times New Roman"/>
                <w:b/>
                <w:sz w:val="13"/>
              </w:rPr>
              <w:t xml:space="preserve">         7,818,663,345,029</w:t>
            </w:r>
          </w:p>
        </w:tc>
        <w:tc>
          <w:tcPr>
            <w:tcW w:w="1259" w:type="dxa"/>
            <w:gridSpan w:val="3"/>
            <w:tcBorders>
              <w:top w:val="single" w:sz="3" w:space="0" w:color="000000"/>
              <w:left w:val="single" w:sz="2" w:space="0" w:color="000000"/>
              <w:bottom w:val="single" w:sz="3" w:space="0" w:color="000000"/>
              <w:right w:val="single" w:sz="2" w:space="0" w:color="000000"/>
            </w:tcBorders>
            <w:vAlign w:val="center"/>
          </w:tcPr>
          <w:p w:rsidR="001C682A" w:rsidRDefault="00B03C38">
            <w:pPr>
              <w:spacing w:after="0" w:line="259" w:lineRule="auto"/>
              <w:ind w:left="47" w:firstLine="0"/>
              <w:jc w:val="left"/>
            </w:pPr>
            <w:r>
              <w:rPr>
                <w:rFonts w:ascii="Times New Roman" w:eastAsia="Times New Roman" w:hAnsi="Times New Roman" w:cs="Times New Roman"/>
                <w:b/>
                <w:sz w:val="13"/>
              </w:rPr>
              <w:t xml:space="preserve">         8,586,281,267,974</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148</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149</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Net Oil Revenue after Costs, Deductions &amp; Derivation</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2,090,239,792,299</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4,090,852,736,865</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4,665,563,949,852</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5,331,705,103,312</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149</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lastRenderedPageBreak/>
              <w:t>150</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Dividend Payment (NLNG)</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150</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151</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Net Solid Minerals Revenue after Derivation</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3,908,604,642</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5,464,729,697</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6,011,202,666</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6,612,322,933</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151</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152</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Net Corporate Tax Distributable</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1,694,159,591,664</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1,405,604,726,453</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1,777,644,067,841</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1,834,954,611,150</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152</w:t>
            </w:r>
          </w:p>
        </w:tc>
      </w:tr>
      <w:tr w:rsidR="001C682A">
        <w:tblPrEx>
          <w:tblCellMar>
            <w:top w:w="0" w:type="dxa"/>
            <w:left w:w="21" w:type="dxa"/>
            <w:right w:w="4" w:type="dxa"/>
          </w:tblCellMar>
        </w:tblPrEx>
        <w:trPr>
          <w:trHeight w:val="181"/>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153</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Net Customs Revenue Distributable</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929,272,831,724</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1,047,978,550,179</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1,227,855,299,079</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1,266,916,145,143</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153</w:t>
            </w:r>
          </w:p>
        </w:tc>
      </w:tr>
      <w:tr w:rsidR="001C682A">
        <w:tblPrEx>
          <w:tblCellMar>
            <w:top w:w="0" w:type="dxa"/>
            <w:left w:w="21" w:type="dxa"/>
            <w:right w:w="4" w:type="dxa"/>
          </w:tblCellMar>
        </w:tblPrEx>
        <w:trPr>
          <w:trHeight w:val="199"/>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154</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Net Special Levies Distributable</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141,145,505,197</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124,763,413,007</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0" w:firstLine="0"/>
              <w:jc w:val="left"/>
            </w:pPr>
            <w:r>
              <w:rPr>
                <w:rFonts w:ascii="Times New Roman" w:eastAsia="Times New Roman" w:hAnsi="Times New Roman" w:cs="Times New Roman"/>
                <w:sz w:val="13"/>
              </w:rPr>
              <w:t xml:space="preserve">            141,588,825,590</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sz w:val="13"/>
              </w:rPr>
              <w:t xml:space="preserve">            146,093,085,436</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154</w:t>
            </w:r>
          </w:p>
        </w:tc>
      </w:tr>
      <w:tr w:rsidR="001C682A">
        <w:tblPrEx>
          <w:tblCellMar>
            <w:top w:w="0" w:type="dxa"/>
            <w:left w:w="21" w:type="dxa"/>
            <w:right w:w="4" w:type="dxa"/>
          </w:tblCellMar>
        </w:tblPrEx>
        <w:trPr>
          <w:trHeight w:val="163"/>
        </w:trPr>
        <w:tc>
          <w:tcPr>
            <w:tcW w:w="310" w:type="dxa"/>
            <w:gridSpan w:val="2"/>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4" w:firstLine="0"/>
              <w:jc w:val="left"/>
            </w:pPr>
            <w:r>
              <w:rPr>
                <w:rFonts w:ascii="Times New Roman" w:eastAsia="Times New Roman" w:hAnsi="Times New Roman" w:cs="Times New Roman"/>
                <w:sz w:val="13"/>
              </w:rPr>
              <w:t>155</w:t>
            </w:r>
          </w:p>
        </w:tc>
        <w:tc>
          <w:tcPr>
            <w:tcW w:w="4002" w:type="dxa"/>
            <w:gridSpan w:val="4"/>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Actual Balances in Special Accounts</w:t>
            </w:r>
          </w:p>
        </w:tc>
        <w:tc>
          <w:tcPr>
            <w:tcW w:w="121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color w:val="C00000"/>
                <w:sz w:val="13"/>
              </w:rPr>
              <w:t xml:space="preserve">            10,676,188,505</w:t>
            </w:r>
          </w:p>
        </w:tc>
        <w:tc>
          <w:tcPr>
            <w:tcW w:w="1209"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7" w:firstLine="0"/>
              <w:jc w:val="left"/>
            </w:pPr>
            <w:r>
              <w:rPr>
                <w:rFonts w:ascii="Times New Roman" w:eastAsia="Times New Roman" w:hAnsi="Times New Roman" w:cs="Times New Roman"/>
                <w:color w:val="C00000"/>
                <w:sz w:val="13"/>
              </w:rPr>
              <w:t xml:space="preserve">                                -</w:t>
            </w:r>
          </w:p>
        </w:tc>
        <w:tc>
          <w:tcPr>
            <w:tcW w:w="1262"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color w:val="C00000"/>
                <w:sz w:val="13"/>
              </w:rPr>
              <w:t xml:space="preserve">                                  -</w:t>
            </w:r>
          </w:p>
        </w:tc>
        <w:tc>
          <w:tcPr>
            <w:tcW w:w="1259" w:type="dxa"/>
            <w:gridSpan w:val="3"/>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1" w:firstLine="0"/>
              <w:jc w:val="left"/>
            </w:pPr>
            <w:r>
              <w:rPr>
                <w:rFonts w:ascii="Times New Roman" w:eastAsia="Times New Roman" w:hAnsi="Times New Roman" w:cs="Times New Roman"/>
                <w:color w:val="C00000"/>
                <w:sz w:val="13"/>
              </w:rPr>
              <w:t xml:space="preserve">                                  -</w:t>
            </w:r>
          </w:p>
        </w:tc>
        <w:tc>
          <w:tcPr>
            <w:tcW w:w="7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155</w:t>
            </w:r>
          </w:p>
        </w:tc>
      </w:tr>
      <w:tr w:rsidR="001C682A">
        <w:tblPrEx>
          <w:tblCellMar>
            <w:top w:w="0" w:type="dxa"/>
            <w:left w:w="21" w:type="dxa"/>
            <w:right w:w="4" w:type="dxa"/>
          </w:tblCellMar>
        </w:tblPrEx>
        <w:trPr>
          <w:trHeight w:val="81"/>
        </w:trPr>
        <w:tc>
          <w:tcPr>
            <w:tcW w:w="310" w:type="dxa"/>
            <w:gridSpan w:val="2"/>
            <w:tcBorders>
              <w:top w:val="single" w:sz="3" w:space="0" w:color="000000"/>
              <w:left w:val="single" w:sz="2" w:space="0" w:color="0000D0"/>
              <w:bottom w:val="single" w:sz="5" w:space="0" w:color="0000D0"/>
              <w:right w:val="single" w:sz="2" w:space="0" w:color="000000"/>
            </w:tcBorders>
          </w:tcPr>
          <w:p w:rsidR="001C682A" w:rsidRDefault="001C682A">
            <w:pPr>
              <w:spacing w:after="160" w:line="259" w:lineRule="auto"/>
              <w:ind w:left="0" w:firstLine="0"/>
              <w:jc w:val="left"/>
            </w:pPr>
          </w:p>
        </w:tc>
        <w:tc>
          <w:tcPr>
            <w:tcW w:w="426" w:type="dxa"/>
            <w:gridSpan w:val="2"/>
            <w:tcBorders>
              <w:top w:val="single" w:sz="3" w:space="0" w:color="000000"/>
              <w:left w:val="single" w:sz="2" w:space="0" w:color="000000"/>
              <w:bottom w:val="single" w:sz="5" w:space="0" w:color="0000D0"/>
              <w:right w:val="single" w:sz="2" w:space="0" w:color="000000"/>
            </w:tcBorders>
          </w:tcPr>
          <w:p w:rsidR="001C682A" w:rsidRDefault="001C682A">
            <w:pPr>
              <w:spacing w:after="160" w:line="259" w:lineRule="auto"/>
              <w:ind w:left="0" w:firstLine="0"/>
              <w:jc w:val="left"/>
            </w:pPr>
          </w:p>
        </w:tc>
        <w:tc>
          <w:tcPr>
            <w:tcW w:w="3577" w:type="dxa"/>
            <w:gridSpan w:val="2"/>
            <w:tcBorders>
              <w:top w:val="single" w:sz="3" w:space="0" w:color="000000"/>
              <w:left w:val="single" w:sz="2" w:space="0" w:color="000000"/>
              <w:bottom w:val="single" w:sz="5" w:space="0" w:color="0000D0"/>
              <w:right w:val="single" w:sz="2" w:space="0" w:color="000000"/>
            </w:tcBorders>
          </w:tcPr>
          <w:p w:rsidR="001C682A" w:rsidRDefault="001C682A">
            <w:pPr>
              <w:spacing w:after="160" w:line="259" w:lineRule="auto"/>
              <w:ind w:left="0" w:firstLine="0"/>
              <w:jc w:val="left"/>
            </w:pPr>
          </w:p>
        </w:tc>
        <w:tc>
          <w:tcPr>
            <w:tcW w:w="1212" w:type="dxa"/>
            <w:gridSpan w:val="2"/>
            <w:tcBorders>
              <w:top w:val="single" w:sz="3" w:space="0" w:color="000000"/>
              <w:left w:val="single" w:sz="2" w:space="0" w:color="000000"/>
              <w:bottom w:val="single" w:sz="5" w:space="0" w:color="0000D0"/>
              <w:right w:val="single" w:sz="2" w:space="0" w:color="000000"/>
            </w:tcBorders>
          </w:tcPr>
          <w:p w:rsidR="001C682A" w:rsidRDefault="001C682A">
            <w:pPr>
              <w:spacing w:after="160" w:line="259" w:lineRule="auto"/>
              <w:ind w:left="0" w:firstLine="0"/>
              <w:jc w:val="left"/>
            </w:pPr>
          </w:p>
        </w:tc>
        <w:tc>
          <w:tcPr>
            <w:tcW w:w="1209" w:type="dxa"/>
            <w:gridSpan w:val="2"/>
            <w:tcBorders>
              <w:top w:val="single" w:sz="3" w:space="0" w:color="000000"/>
              <w:left w:val="single" w:sz="2" w:space="0" w:color="000000"/>
              <w:bottom w:val="single" w:sz="5" w:space="0" w:color="0000D0"/>
              <w:right w:val="single" w:sz="2" w:space="0" w:color="000000"/>
            </w:tcBorders>
          </w:tcPr>
          <w:p w:rsidR="001C682A" w:rsidRDefault="001C682A">
            <w:pPr>
              <w:spacing w:after="160" w:line="259" w:lineRule="auto"/>
              <w:ind w:left="0" w:firstLine="0"/>
              <w:jc w:val="left"/>
            </w:pPr>
          </w:p>
        </w:tc>
        <w:tc>
          <w:tcPr>
            <w:tcW w:w="1262" w:type="dxa"/>
            <w:gridSpan w:val="2"/>
            <w:tcBorders>
              <w:top w:val="single" w:sz="3" w:space="0" w:color="000000"/>
              <w:left w:val="single" w:sz="2" w:space="0" w:color="000000"/>
              <w:bottom w:val="single" w:sz="5" w:space="0" w:color="0000D0"/>
              <w:right w:val="single" w:sz="2" w:space="0" w:color="000000"/>
            </w:tcBorders>
          </w:tcPr>
          <w:p w:rsidR="001C682A" w:rsidRDefault="001C682A">
            <w:pPr>
              <w:spacing w:after="160" w:line="259" w:lineRule="auto"/>
              <w:ind w:left="0" w:firstLine="0"/>
              <w:jc w:val="left"/>
            </w:pPr>
          </w:p>
        </w:tc>
        <w:tc>
          <w:tcPr>
            <w:tcW w:w="1259" w:type="dxa"/>
            <w:gridSpan w:val="3"/>
            <w:tcBorders>
              <w:top w:val="single" w:sz="3" w:space="0" w:color="000000"/>
              <w:left w:val="single" w:sz="2" w:space="0" w:color="000000"/>
              <w:bottom w:val="single" w:sz="5" w:space="0" w:color="0000D0"/>
              <w:right w:val="single" w:sz="2" w:space="0" w:color="000000"/>
            </w:tcBorders>
          </w:tcPr>
          <w:p w:rsidR="001C682A" w:rsidRDefault="001C682A">
            <w:pPr>
              <w:spacing w:after="160" w:line="259" w:lineRule="auto"/>
              <w:ind w:left="0" w:firstLine="0"/>
              <w:jc w:val="left"/>
            </w:pPr>
          </w:p>
        </w:tc>
        <w:tc>
          <w:tcPr>
            <w:tcW w:w="71" w:type="dxa"/>
            <w:gridSpan w:val="2"/>
            <w:tcBorders>
              <w:top w:val="single" w:sz="3" w:space="0" w:color="000000"/>
              <w:left w:val="single" w:sz="2" w:space="0" w:color="000000"/>
              <w:bottom w:val="single" w:sz="5" w:space="0" w:color="0000D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5" w:space="0" w:color="0000D0"/>
              <w:right w:val="single" w:sz="5" w:space="0" w:color="0000D0"/>
            </w:tcBorders>
          </w:tcPr>
          <w:p w:rsidR="001C682A" w:rsidRDefault="001C682A">
            <w:pPr>
              <w:spacing w:after="160" w:line="259" w:lineRule="auto"/>
              <w:ind w:left="0" w:firstLine="0"/>
              <w:jc w:val="left"/>
            </w:pPr>
          </w:p>
        </w:tc>
      </w:tr>
    </w:tbl>
    <w:p w:rsidR="001C682A" w:rsidRDefault="00B03C38">
      <w:pPr>
        <w:tabs>
          <w:tab w:val="center" w:pos="377"/>
          <w:tab w:val="center" w:pos="9861"/>
        </w:tabs>
        <w:spacing w:after="0" w:line="259" w:lineRule="auto"/>
        <w:ind w:left="0" w:firstLine="0"/>
        <w:jc w:val="left"/>
      </w:pPr>
      <w:r>
        <w:rPr>
          <w:rFonts w:ascii="Calibri" w:eastAsia="Calibri" w:hAnsi="Calibri" w:cs="Calibri"/>
        </w:rPr>
        <w:tab/>
      </w:r>
      <w:r>
        <w:rPr>
          <w:rFonts w:ascii="Times New Roman" w:eastAsia="Times New Roman" w:hAnsi="Times New Roman" w:cs="Times New Roman"/>
          <w:sz w:val="13"/>
        </w:rPr>
        <w:t>157</w:t>
      </w:r>
      <w:r>
        <w:rPr>
          <w:rFonts w:ascii="Times New Roman" w:eastAsia="Times New Roman" w:hAnsi="Times New Roman" w:cs="Times New Roman"/>
          <w:sz w:val="13"/>
        </w:rPr>
        <w:tab/>
      </w:r>
      <w:r>
        <w:rPr>
          <w:rFonts w:ascii="Franklin Gothic Book" w:eastAsia="Franklin Gothic Book" w:hAnsi="Franklin Gothic Book" w:cs="Franklin Gothic Book"/>
          <w:sz w:val="28"/>
        </w:rPr>
        <w:t xml:space="preserve"> </w:t>
      </w:r>
    </w:p>
    <w:p w:rsidR="001C682A" w:rsidRDefault="00B03C38">
      <w:pPr>
        <w:spacing w:after="0" w:line="259" w:lineRule="auto"/>
        <w:ind w:left="218" w:firstLine="0"/>
        <w:jc w:val="left"/>
      </w:pPr>
      <w:r>
        <w:rPr>
          <w:sz w:val="24"/>
        </w:rPr>
        <w:t xml:space="preserve"> </w:t>
      </w:r>
      <w:r>
        <w:rPr>
          <w:sz w:val="24"/>
        </w:rPr>
        <w:tab/>
      </w:r>
      <w:r>
        <w:rPr>
          <w:rFonts w:ascii="Franklin Gothic Book" w:eastAsia="Franklin Gothic Book" w:hAnsi="Franklin Gothic Book" w:cs="Franklin Gothic Book"/>
          <w:sz w:val="28"/>
        </w:rPr>
        <w:t xml:space="preserve"> </w:t>
      </w:r>
    </w:p>
    <w:p w:rsidR="001C682A" w:rsidRDefault="001C682A">
      <w:pPr>
        <w:spacing w:after="0" w:line="259" w:lineRule="auto"/>
        <w:ind w:left="-1222" w:right="73" w:firstLine="0"/>
      </w:pPr>
    </w:p>
    <w:tbl>
      <w:tblPr>
        <w:tblStyle w:val="TableGrid"/>
        <w:tblW w:w="9774" w:type="dxa"/>
        <w:tblInd w:w="224" w:type="dxa"/>
        <w:tblCellMar>
          <w:left w:w="21" w:type="dxa"/>
          <w:right w:w="9" w:type="dxa"/>
        </w:tblCellMar>
        <w:tblLook w:val="04A0" w:firstRow="1" w:lastRow="0" w:firstColumn="1" w:lastColumn="0" w:noHBand="0" w:noVBand="1"/>
      </w:tblPr>
      <w:tblGrid>
        <w:gridCol w:w="466"/>
        <w:gridCol w:w="394"/>
        <w:gridCol w:w="3278"/>
        <w:gridCol w:w="1252"/>
        <w:gridCol w:w="1252"/>
        <w:gridCol w:w="1299"/>
        <w:gridCol w:w="1299"/>
        <w:gridCol w:w="66"/>
        <w:gridCol w:w="468"/>
      </w:tblGrid>
      <w:tr w:rsidR="001C682A">
        <w:trPr>
          <w:trHeight w:val="189"/>
        </w:trPr>
        <w:tc>
          <w:tcPr>
            <w:tcW w:w="315" w:type="dxa"/>
            <w:tcBorders>
              <w:top w:val="single" w:sz="3" w:space="0" w:color="0000D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163164</w:t>
            </w:r>
          </w:p>
        </w:tc>
        <w:tc>
          <w:tcPr>
            <w:tcW w:w="4061" w:type="dxa"/>
            <w:gridSpan w:val="2"/>
            <w:tcBorders>
              <w:top w:val="single" w:sz="3" w:space="0" w:color="0000D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Distribution</w:t>
            </w:r>
          </w:p>
        </w:tc>
        <w:tc>
          <w:tcPr>
            <w:tcW w:w="1230" w:type="dxa"/>
            <w:tcBorders>
              <w:top w:val="single" w:sz="3" w:space="0" w:color="0000D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30" w:type="dxa"/>
            <w:tcBorders>
              <w:top w:val="single" w:sz="3" w:space="0" w:color="0000D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8" w:type="dxa"/>
            <w:tcBorders>
              <w:top w:val="single" w:sz="3" w:space="0" w:color="0000D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9" w:type="dxa"/>
            <w:tcBorders>
              <w:top w:val="single" w:sz="3" w:space="0" w:color="0000D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D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D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163</w:t>
            </w:r>
          </w:p>
        </w:tc>
      </w:tr>
      <w:tr w:rsidR="001C682A">
        <w:trPr>
          <w:trHeight w:val="158"/>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165</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90" w:firstLine="0"/>
              <w:jc w:val="left"/>
            </w:pPr>
            <w:r>
              <w:rPr>
                <w:rFonts w:ascii="Times New Roman" w:eastAsia="Times New Roman" w:hAnsi="Times New Roman" w:cs="Times New Roman"/>
                <w:sz w:val="13"/>
              </w:rPr>
              <w:t>FGN's Share of Federation Account (52.68%)</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2,565,201,244,392</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3,516,213,077,486</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4,118,871,850,162</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4,523,252,971,969</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165</w:t>
            </w:r>
          </w:p>
        </w:tc>
      </w:tr>
      <w:tr w:rsidR="001C682A">
        <w:trPr>
          <w:trHeight w:val="158"/>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166</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90" w:firstLine="0"/>
              <w:jc w:val="left"/>
            </w:pPr>
            <w:r>
              <w:rPr>
                <w:rFonts w:ascii="Times New Roman" w:eastAsia="Times New Roman" w:hAnsi="Times New Roman" w:cs="Times New Roman"/>
                <w:sz w:val="13"/>
              </w:rPr>
              <w:t>States' Share of Federation Account (26.72%)</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1,301,104,351,749</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1,783,470,262,537</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2,089,146,845,792</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2,294,254,354,803</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166</w:t>
            </w:r>
          </w:p>
        </w:tc>
      </w:tr>
      <w:tr w:rsidR="001C682A">
        <w:trPr>
          <w:trHeight w:val="158"/>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167</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90" w:firstLine="0"/>
              <w:jc w:val="left"/>
            </w:pPr>
            <w:r>
              <w:rPr>
                <w:rFonts w:ascii="Times New Roman" w:eastAsia="Times New Roman" w:hAnsi="Times New Roman" w:cs="Times New Roman"/>
                <w:sz w:val="13"/>
              </w:rPr>
              <w:t>Local Govt.'s Share of Federation Account (20.60%)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1,003,096,917,890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1,374,980,816,177</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1,610,644,649,076</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1,768,773,941,203</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167</w:t>
            </w:r>
          </w:p>
        </w:tc>
      </w:tr>
      <w:tr w:rsidR="001C682A">
        <w:trPr>
          <w:trHeight w:val="158"/>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168</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Total Federation Account Distribution (Net) (100.00%)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b/>
                <w:sz w:val="13"/>
              </w:rPr>
              <w:t xml:space="preserve">       4,869,402,514,031</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b/>
                <w:sz w:val="13"/>
              </w:rPr>
              <w:t xml:space="preserve">       6,674,664,156,200</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b/>
                <w:sz w:val="13"/>
              </w:rPr>
              <w:t xml:space="preserve">         7,818,663,345,029</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b/>
                <w:sz w:val="13"/>
              </w:rPr>
              <w:t xml:space="preserve">         8,586,281,267,974</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168</w:t>
            </w:r>
          </w:p>
        </w:tc>
      </w:tr>
      <w:tr w:rsidR="001C682A">
        <w:trPr>
          <w:trHeight w:val="189"/>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169</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3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3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8"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9"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169</w:t>
            </w:r>
          </w:p>
        </w:tc>
      </w:tr>
      <w:tr w:rsidR="001C682A">
        <w:trPr>
          <w:trHeight w:val="189"/>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170</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NET VAT POOL ACCOUNT DISTRIBUTABLE</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b/>
                <w:sz w:val="13"/>
              </w:rPr>
              <w:t xml:space="preserve">       2,029,386,290,994</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b/>
                <w:sz w:val="13"/>
              </w:rPr>
              <w:t xml:space="preserve">       1,703,044,482,541</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b/>
                <w:sz w:val="13"/>
              </w:rPr>
              <w:t xml:space="preserve">         1,814,180,937,067</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b/>
                <w:sz w:val="13"/>
              </w:rPr>
              <w:t xml:space="preserve">         1,879,068,876,704</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82"/>
        </w:trPr>
        <w:tc>
          <w:tcPr>
            <w:tcW w:w="315" w:type="dxa"/>
            <w:tcBorders>
              <w:top w:val="single" w:sz="3" w:space="0" w:color="000000"/>
              <w:left w:val="single" w:sz="2" w:space="0" w:color="0000D0"/>
              <w:bottom w:val="single" w:sz="3" w:space="0" w:color="000000"/>
              <w:right w:val="single" w:sz="2" w:space="0" w:color="000000"/>
            </w:tcBorders>
          </w:tcPr>
          <w:p w:rsidR="001C682A" w:rsidRDefault="001C682A">
            <w:pPr>
              <w:spacing w:after="160" w:line="259" w:lineRule="auto"/>
              <w:ind w:left="0" w:firstLine="0"/>
              <w:jc w:val="left"/>
            </w:pPr>
          </w:p>
        </w:tc>
        <w:tc>
          <w:tcPr>
            <w:tcW w:w="432"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63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3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3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8"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9"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158"/>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171</w:t>
            </w:r>
          </w:p>
          <w:p w:rsidR="001C682A" w:rsidRDefault="00B03C38">
            <w:pPr>
              <w:spacing w:after="0" w:line="259" w:lineRule="auto"/>
              <w:ind w:left="45" w:firstLine="0"/>
              <w:jc w:val="left"/>
            </w:pPr>
            <w:r>
              <w:rPr>
                <w:rFonts w:ascii="Times New Roman" w:eastAsia="Times New Roman" w:hAnsi="Times New Roman" w:cs="Times New Roman"/>
                <w:sz w:val="13"/>
              </w:rPr>
              <w:t>172</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90" w:firstLine="0"/>
              <w:jc w:val="left"/>
            </w:pPr>
            <w:r>
              <w:rPr>
                <w:rFonts w:ascii="Times New Roman" w:eastAsia="Times New Roman" w:hAnsi="Times New Roman" w:cs="Times New Roman"/>
                <w:sz w:val="13"/>
              </w:rPr>
              <w:t>FGN's' Share of VAT Pool Account (15%)</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55" w:firstLine="0"/>
              <w:jc w:val="right"/>
            </w:pPr>
            <w:r>
              <w:rPr>
                <w:rFonts w:ascii="Times New Roman" w:eastAsia="Times New Roman" w:hAnsi="Times New Roman" w:cs="Times New Roman"/>
                <w:sz w:val="13"/>
              </w:rPr>
              <w:t>304,407,943,649</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54" w:firstLine="0"/>
              <w:jc w:val="right"/>
            </w:pPr>
            <w:r>
              <w:rPr>
                <w:rFonts w:ascii="Times New Roman" w:eastAsia="Times New Roman" w:hAnsi="Times New Roman" w:cs="Times New Roman"/>
                <w:sz w:val="13"/>
              </w:rPr>
              <w:t>255,456,672,381</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55" w:firstLine="0"/>
              <w:jc w:val="right"/>
            </w:pPr>
            <w:r>
              <w:rPr>
                <w:rFonts w:ascii="Times New Roman" w:eastAsia="Times New Roman" w:hAnsi="Times New Roman" w:cs="Times New Roman"/>
                <w:sz w:val="13"/>
              </w:rPr>
              <w:t>272,127,140,560</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55" w:firstLine="0"/>
              <w:jc w:val="right"/>
            </w:pPr>
            <w:r>
              <w:rPr>
                <w:rFonts w:ascii="Times New Roman" w:eastAsia="Times New Roman" w:hAnsi="Times New Roman" w:cs="Times New Roman"/>
                <w:sz w:val="13"/>
              </w:rPr>
              <w:t>281,860,331,506</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172</w:t>
            </w:r>
          </w:p>
        </w:tc>
      </w:tr>
      <w:tr w:rsidR="001C682A">
        <w:trPr>
          <w:trHeight w:val="158"/>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173</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90" w:firstLine="0"/>
              <w:jc w:val="left"/>
            </w:pPr>
            <w:r>
              <w:rPr>
                <w:rFonts w:ascii="Times New Roman" w:eastAsia="Times New Roman" w:hAnsi="Times New Roman" w:cs="Times New Roman"/>
                <w:sz w:val="13"/>
              </w:rPr>
              <w:t>States' Share of VAT Pool Account (50%)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46" w:firstLine="0"/>
              <w:jc w:val="left"/>
            </w:pPr>
            <w:r>
              <w:rPr>
                <w:rFonts w:ascii="Times New Roman" w:eastAsia="Times New Roman" w:hAnsi="Times New Roman" w:cs="Times New Roman"/>
                <w:sz w:val="13"/>
              </w:rPr>
              <w:t>1,014,693,145,497</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54" w:firstLine="0"/>
              <w:jc w:val="right"/>
            </w:pPr>
            <w:r>
              <w:rPr>
                <w:rFonts w:ascii="Times New Roman" w:eastAsia="Times New Roman" w:hAnsi="Times New Roman" w:cs="Times New Roman"/>
                <w:sz w:val="13"/>
              </w:rPr>
              <w:t>851,522,241,271</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55" w:firstLine="0"/>
              <w:jc w:val="right"/>
            </w:pPr>
            <w:r>
              <w:rPr>
                <w:rFonts w:ascii="Times New Roman" w:eastAsia="Times New Roman" w:hAnsi="Times New Roman" w:cs="Times New Roman"/>
                <w:sz w:val="13"/>
              </w:rPr>
              <w:t>907,090,468,533</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55" w:firstLine="0"/>
              <w:jc w:val="right"/>
            </w:pPr>
            <w:r>
              <w:rPr>
                <w:rFonts w:ascii="Times New Roman" w:eastAsia="Times New Roman" w:hAnsi="Times New Roman" w:cs="Times New Roman"/>
                <w:sz w:val="13"/>
              </w:rPr>
              <w:t>939,534,438,352</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173</w:t>
            </w:r>
          </w:p>
        </w:tc>
      </w:tr>
      <w:tr w:rsidR="001C682A">
        <w:trPr>
          <w:trHeight w:val="158"/>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174</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90" w:firstLine="0"/>
              <w:jc w:val="left"/>
            </w:pPr>
            <w:r>
              <w:rPr>
                <w:rFonts w:ascii="Times New Roman" w:eastAsia="Times New Roman" w:hAnsi="Times New Roman" w:cs="Times New Roman"/>
                <w:sz w:val="13"/>
              </w:rPr>
              <w:t>Local Govt.'s Share of VAT Pool Account (35%)</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55" w:firstLine="0"/>
              <w:jc w:val="right"/>
            </w:pPr>
            <w:r>
              <w:rPr>
                <w:rFonts w:ascii="Times New Roman" w:eastAsia="Times New Roman" w:hAnsi="Times New Roman" w:cs="Times New Roman"/>
                <w:sz w:val="13"/>
              </w:rPr>
              <w:t>710,285,201,848</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54" w:firstLine="0"/>
              <w:jc w:val="right"/>
            </w:pPr>
            <w:r>
              <w:rPr>
                <w:rFonts w:ascii="Times New Roman" w:eastAsia="Times New Roman" w:hAnsi="Times New Roman" w:cs="Times New Roman"/>
                <w:sz w:val="13"/>
              </w:rPr>
              <w:t>596,065,568,889</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55" w:firstLine="0"/>
              <w:jc w:val="right"/>
            </w:pPr>
            <w:r>
              <w:rPr>
                <w:rFonts w:ascii="Times New Roman" w:eastAsia="Times New Roman" w:hAnsi="Times New Roman" w:cs="Times New Roman"/>
                <w:sz w:val="13"/>
              </w:rPr>
              <w:t>634,963,327,973</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55" w:firstLine="0"/>
              <w:jc w:val="right"/>
            </w:pPr>
            <w:r>
              <w:rPr>
                <w:rFonts w:ascii="Times New Roman" w:eastAsia="Times New Roman" w:hAnsi="Times New Roman" w:cs="Times New Roman"/>
                <w:sz w:val="13"/>
              </w:rPr>
              <w:t>657,674,106,846</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174</w:t>
            </w:r>
          </w:p>
        </w:tc>
      </w:tr>
      <w:tr w:rsidR="001C682A">
        <w:trPr>
          <w:trHeight w:val="208"/>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175</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Total VAT Pool Account Distribution (Net) (100.00%)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b/>
                <w:sz w:val="13"/>
              </w:rPr>
              <w:t xml:space="preserve">       2,029,386,290,994</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b/>
                <w:sz w:val="13"/>
              </w:rPr>
              <w:t xml:space="preserve">       1,703,044,482,541</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b/>
                <w:sz w:val="13"/>
              </w:rPr>
              <w:t xml:space="preserve">         1,814,180,937,067</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b/>
                <w:sz w:val="13"/>
              </w:rPr>
              <w:t xml:space="preserve">         1,879,068,876,704</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175</w:t>
            </w:r>
          </w:p>
        </w:tc>
      </w:tr>
      <w:tr w:rsidR="001C682A">
        <w:trPr>
          <w:trHeight w:val="82"/>
        </w:trPr>
        <w:tc>
          <w:tcPr>
            <w:tcW w:w="315" w:type="dxa"/>
            <w:tcBorders>
              <w:top w:val="single" w:sz="3" w:space="0" w:color="000000"/>
              <w:left w:val="single" w:sz="2" w:space="0" w:color="0000D0"/>
              <w:bottom w:val="single" w:sz="3" w:space="0" w:color="000000"/>
              <w:right w:val="single" w:sz="2" w:space="0" w:color="000000"/>
            </w:tcBorders>
          </w:tcPr>
          <w:p w:rsidR="001C682A" w:rsidRDefault="001C682A">
            <w:pPr>
              <w:spacing w:after="160" w:line="259" w:lineRule="auto"/>
              <w:ind w:left="0" w:firstLine="0"/>
              <w:jc w:val="left"/>
            </w:pP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3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3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8"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9"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158"/>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176</w:t>
            </w:r>
          </w:p>
          <w:p w:rsidR="001C682A" w:rsidRDefault="00B03C38">
            <w:pPr>
              <w:spacing w:after="0" w:line="259" w:lineRule="auto"/>
              <w:ind w:left="45" w:firstLine="0"/>
              <w:jc w:val="left"/>
            </w:pPr>
            <w:r>
              <w:rPr>
                <w:rFonts w:ascii="Times New Roman" w:eastAsia="Times New Roman" w:hAnsi="Times New Roman" w:cs="Times New Roman"/>
                <w:sz w:val="13"/>
              </w:rPr>
              <w:t>188</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TOTAL STATES</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b/>
                <w:sz w:val="13"/>
              </w:rPr>
              <w:t xml:space="preserve">       2,315,797,497,246</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b/>
                <w:sz w:val="13"/>
              </w:rPr>
              <w:t xml:space="preserve">       2,634,992,503,807</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b/>
                <w:sz w:val="13"/>
              </w:rPr>
              <w:t xml:space="preserve">         2,996,237,314,325</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b/>
                <w:sz w:val="13"/>
              </w:rPr>
              <w:t xml:space="preserve">         3,233,788,793,155</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188</w:t>
            </w:r>
          </w:p>
        </w:tc>
      </w:tr>
      <w:tr w:rsidR="001C682A">
        <w:trPr>
          <w:trHeight w:val="158"/>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189</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90" w:firstLine="0"/>
              <w:jc w:val="left"/>
            </w:pPr>
            <w:r>
              <w:rPr>
                <w:rFonts w:ascii="Times New Roman" w:eastAsia="Times New Roman" w:hAnsi="Times New Roman" w:cs="Times New Roman"/>
                <w:sz w:val="13"/>
              </w:rPr>
              <w:t>States' Share of Federation Account (26.72%)</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1,301,104,351,749</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1,783,470,262,537</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2,089,146,845,792</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2,294,254,354,803</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189</w:t>
            </w:r>
          </w:p>
        </w:tc>
      </w:tr>
      <w:tr w:rsidR="001C682A">
        <w:trPr>
          <w:trHeight w:val="158"/>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190</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90" w:firstLine="0"/>
              <w:jc w:val="left"/>
            </w:pPr>
            <w:r>
              <w:rPr>
                <w:rFonts w:ascii="Times New Roman" w:eastAsia="Times New Roman" w:hAnsi="Times New Roman" w:cs="Times New Roman"/>
                <w:sz w:val="13"/>
              </w:rPr>
              <w:t>States' Share of VAT Pool Account (50%)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1,014,693,145,497</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851,522,241,271</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907,090,468,533</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939,534,438,352</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190</w:t>
            </w:r>
          </w:p>
        </w:tc>
      </w:tr>
      <w:tr w:rsidR="001C682A">
        <w:trPr>
          <w:trHeight w:val="69"/>
        </w:trPr>
        <w:tc>
          <w:tcPr>
            <w:tcW w:w="315" w:type="dxa"/>
            <w:tcBorders>
              <w:top w:val="single" w:sz="3" w:space="0" w:color="000000"/>
              <w:left w:val="single" w:sz="2" w:space="0" w:color="0000D0"/>
              <w:bottom w:val="single" w:sz="3" w:space="0" w:color="000000"/>
              <w:right w:val="single" w:sz="2" w:space="0" w:color="000000"/>
            </w:tcBorders>
          </w:tcPr>
          <w:p w:rsidR="001C682A" w:rsidRDefault="001C682A">
            <w:pPr>
              <w:spacing w:after="160" w:line="259" w:lineRule="auto"/>
              <w:ind w:left="0" w:firstLine="0"/>
              <w:jc w:val="left"/>
            </w:pP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3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3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8"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9"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158"/>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193194</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TOTAL LGCs</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b/>
                <w:sz w:val="13"/>
              </w:rPr>
              <w:t xml:space="preserve">       1,713,382,119,738</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b/>
                <w:sz w:val="13"/>
              </w:rPr>
              <w:t xml:space="preserve">       1,971,046,385,067</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b/>
                <w:sz w:val="13"/>
              </w:rPr>
              <w:t xml:space="preserve">         2,245,607,977,049</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b/>
                <w:sz w:val="13"/>
              </w:rPr>
              <w:t xml:space="preserve">         2,426,448,048,049</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194</w:t>
            </w:r>
          </w:p>
        </w:tc>
      </w:tr>
      <w:tr w:rsidR="001C682A">
        <w:trPr>
          <w:trHeight w:val="158"/>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195</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90" w:firstLine="0"/>
              <w:jc w:val="left"/>
            </w:pPr>
            <w:r>
              <w:rPr>
                <w:rFonts w:ascii="Times New Roman" w:eastAsia="Times New Roman" w:hAnsi="Times New Roman" w:cs="Times New Roman"/>
                <w:sz w:val="13"/>
              </w:rPr>
              <w:t>Local Govt.'s Share of Federation Account (20.60%)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1,003,096,917,890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1,374,980,816,177</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1,610,644,649,076</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1,768,773,941,203</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195</w:t>
            </w:r>
          </w:p>
        </w:tc>
      </w:tr>
      <w:tr w:rsidR="001C682A">
        <w:trPr>
          <w:trHeight w:val="158"/>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196</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90" w:firstLine="0"/>
              <w:jc w:val="left"/>
            </w:pPr>
            <w:r>
              <w:rPr>
                <w:rFonts w:ascii="Times New Roman" w:eastAsia="Times New Roman" w:hAnsi="Times New Roman" w:cs="Times New Roman"/>
                <w:sz w:val="13"/>
              </w:rPr>
              <w:t>Local Govt.'s Share of VAT Pool Account (35%)</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710,285,201,848</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596,065,568,889</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634,963,327,973</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657,674,106,846</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196</w:t>
            </w:r>
          </w:p>
        </w:tc>
      </w:tr>
      <w:tr w:rsidR="001C682A">
        <w:trPr>
          <w:trHeight w:val="69"/>
        </w:trPr>
        <w:tc>
          <w:tcPr>
            <w:tcW w:w="315" w:type="dxa"/>
            <w:tcBorders>
              <w:top w:val="single" w:sz="3" w:space="0" w:color="000000"/>
              <w:left w:val="single" w:sz="2" w:space="0" w:color="0000D0"/>
              <w:bottom w:val="single" w:sz="3" w:space="0" w:color="000000"/>
              <w:right w:val="single" w:sz="2" w:space="0" w:color="000000"/>
            </w:tcBorders>
          </w:tcPr>
          <w:p w:rsidR="001C682A" w:rsidRDefault="001C682A">
            <w:pPr>
              <w:spacing w:after="160" w:line="259" w:lineRule="auto"/>
              <w:ind w:left="0" w:firstLine="0"/>
              <w:jc w:val="left"/>
            </w:pP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3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3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8"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9"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158"/>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198202</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REDISTRIBUTE FGN'S SHARE OF FED. ACCT</w:t>
            </w:r>
          </w:p>
        </w:tc>
        <w:tc>
          <w:tcPr>
            <w:tcW w:w="123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3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8"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9"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202</w:t>
            </w:r>
          </w:p>
        </w:tc>
      </w:tr>
      <w:tr w:rsidR="001C682A">
        <w:trPr>
          <w:trHeight w:val="196"/>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203</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Gross FGN's Share of Federation Account (52.68%)</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b/>
                <w:sz w:val="13"/>
              </w:rPr>
              <w:t xml:space="preserve">       2,565,201,244,392</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b/>
                <w:sz w:val="13"/>
              </w:rPr>
              <w:t xml:space="preserve">       3,516,213,077,486</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b/>
                <w:sz w:val="13"/>
              </w:rPr>
              <w:t xml:space="preserve">         4,118,871,850,162</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b/>
                <w:sz w:val="13"/>
              </w:rPr>
              <w:t xml:space="preserve">         4,523,252,971,969</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203</w:t>
            </w:r>
          </w:p>
        </w:tc>
      </w:tr>
      <w:tr w:rsidR="001C682A">
        <w:trPr>
          <w:trHeight w:val="158"/>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lastRenderedPageBreak/>
              <w:t>204</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Deductions</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b/>
                <w:sz w:val="13"/>
              </w:rPr>
              <w:t xml:space="preserve">          203,541,025,087</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b/>
                <w:sz w:val="13"/>
              </w:rPr>
              <w:t xml:space="preserve">          279,000,961,729</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b/>
                <w:sz w:val="13"/>
              </w:rPr>
              <w:t xml:space="preserve">            326,820,127,822</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b/>
                <w:sz w:val="13"/>
              </w:rPr>
              <w:t xml:space="preserve">            358,906,557,001</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204</w:t>
            </w:r>
          </w:p>
        </w:tc>
      </w:tr>
      <w:tr w:rsidR="001C682A">
        <w:trPr>
          <w:trHeight w:val="164"/>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205</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90" w:firstLine="0"/>
              <w:jc w:val="left"/>
            </w:pPr>
            <w:r>
              <w:rPr>
                <w:rFonts w:ascii="Times New Roman" w:eastAsia="Times New Roman" w:hAnsi="Times New Roman" w:cs="Times New Roman"/>
                <w:sz w:val="13"/>
              </w:rPr>
              <w:t>FCT 1%</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48,694,025,140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66,746,641,562</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78,186,633,450</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85,862,812,680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205</w:t>
            </w:r>
          </w:p>
        </w:tc>
      </w:tr>
      <w:tr w:rsidR="001C682A">
        <w:trPr>
          <w:trHeight w:val="189"/>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206</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90" w:firstLine="0"/>
              <w:jc w:val="left"/>
            </w:pPr>
            <w:r>
              <w:rPr>
                <w:rFonts w:ascii="Times New Roman" w:eastAsia="Times New Roman" w:hAnsi="Times New Roman" w:cs="Times New Roman"/>
                <w:sz w:val="13"/>
              </w:rPr>
              <w:t>Ecology and Derivation 1%</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48,694,025,140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66,746,641,562</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78,186,633,450</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85,862,812,680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206</w:t>
            </w:r>
          </w:p>
        </w:tc>
      </w:tr>
      <w:tr w:rsidR="001C682A">
        <w:trPr>
          <w:trHeight w:val="189"/>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207</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90" w:firstLine="0"/>
              <w:jc w:val="left"/>
            </w:pPr>
            <w:r>
              <w:rPr>
                <w:rFonts w:ascii="Times New Roman" w:eastAsia="Times New Roman" w:hAnsi="Times New Roman" w:cs="Times New Roman"/>
                <w:sz w:val="13"/>
              </w:rPr>
              <w:t>Statutory stabilisation 0.5%</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24,347,012,570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33,373,320,781</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39,093,316,725</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42,931,406,340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207</w:t>
            </w:r>
          </w:p>
        </w:tc>
      </w:tr>
      <w:tr w:rsidR="001C682A">
        <w:trPr>
          <w:trHeight w:val="190"/>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208</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90" w:firstLine="0"/>
              <w:jc w:val="left"/>
            </w:pPr>
            <w:r>
              <w:rPr>
                <w:rFonts w:ascii="Times New Roman" w:eastAsia="Times New Roman" w:hAnsi="Times New Roman" w:cs="Times New Roman"/>
                <w:sz w:val="13"/>
              </w:rPr>
              <w:t>Development of Natural Resources 1.68%</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81,805,962,236</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112,134,357,824</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131,353,544,196</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144,249,525,302</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208</w:t>
            </w:r>
          </w:p>
        </w:tc>
      </w:tr>
      <w:tr w:rsidR="001C682A">
        <w:trPr>
          <w:trHeight w:val="189"/>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209</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Net FGN's Share of Federation Account (48.5%)</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b/>
                <w:sz w:val="13"/>
              </w:rPr>
              <w:t xml:space="preserve">       2,361,660,219,305</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b/>
                <w:sz w:val="13"/>
              </w:rPr>
              <w:t xml:space="preserve">       3,237,212,115,757</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b/>
                <w:sz w:val="13"/>
              </w:rPr>
              <w:t xml:space="preserve">         3,792,051,722,339</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b/>
                <w:sz w:val="13"/>
              </w:rPr>
              <w:t xml:space="preserve">         4,164,346,414,967</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209</w:t>
            </w:r>
          </w:p>
        </w:tc>
      </w:tr>
      <w:tr w:rsidR="001C682A">
        <w:trPr>
          <w:trHeight w:val="221"/>
        </w:trPr>
        <w:tc>
          <w:tcPr>
            <w:tcW w:w="315" w:type="dxa"/>
            <w:tcBorders>
              <w:top w:val="single" w:sz="3" w:space="0" w:color="000000"/>
              <w:left w:val="single" w:sz="2" w:space="0" w:color="0000D0"/>
              <w:bottom w:val="doub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210</w:t>
            </w:r>
          </w:p>
        </w:tc>
        <w:tc>
          <w:tcPr>
            <w:tcW w:w="4061" w:type="dxa"/>
            <w:gridSpan w:val="2"/>
            <w:tcBorders>
              <w:top w:val="single" w:sz="3" w:space="0" w:color="000000"/>
              <w:left w:val="single" w:sz="2" w:space="0" w:color="000000"/>
              <w:bottom w:val="doub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Net Ecology and Derivation (after 10% Transfer to NEDC)</w:t>
            </w:r>
          </w:p>
        </w:tc>
        <w:tc>
          <w:tcPr>
            <w:tcW w:w="1230" w:type="dxa"/>
            <w:tcBorders>
              <w:top w:val="single" w:sz="3" w:space="0" w:color="000000"/>
              <w:left w:val="single" w:sz="2" w:space="0" w:color="000000"/>
              <w:bottom w:val="doub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43,824,622,626</w:t>
            </w:r>
          </w:p>
        </w:tc>
        <w:tc>
          <w:tcPr>
            <w:tcW w:w="1230" w:type="dxa"/>
            <w:tcBorders>
              <w:top w:val="single" w:sz="3" w:space="0" w:color="000000"/>
              <w:left w:val="single" w:sz="2" w:space="0" w:color="000000"/>
              <w:bottom w:val="doub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60,071,977,406</w:t>
            </w:r>
          </w:p>
        </w:tc>
        <w:tc>
          <w:tcPr>
            <w:tcW w:w="1278" w:type="dxa"/>
            <w:tcBorders>
              <w:top w:val="single" w:sz="3" w:space="0" w:color="000000"/>
              <w:left w:val="single" w:sz="2" w:space="0" w:color="000000"/>
              <w:bottom w:val="doub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70,367,970,105</w:t>
            </w:r>
          </w:p>
        </w:tc>
        <w:tc>
          <w:tcPr>
            <w:tcW w:w="1279" w:type="dxa"/>
            <w:tcBorders>
              <w:top w:val="single" w:sz="3" w:space="0" w:color="000000"/>
              <w:left w:val="single" w:sz="2" w:space="0" w:color="000000"/>
              <w:bottom w:val="doub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77,276,531,412</w:t>
            </w:r>
          </w:p>
        </w:tc>
        <w:tc>
          <w:tcPr>
            <w:tcW w:w="71" w:type="dxa"/>
            <w:tcBorders>
              <w:top w:val="single" w:sz="3" w:space="0" w:color="000000"/>
              <w:left w:val="single" w:sz="2" w:space="0" w:color="000000"/>
              <w:bottom w:val="doub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doub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210</w:t>
            </w:r>
          </w:p>
        </w:tc>
      </w:tr>
      <w:tr w:rsidR="001C682A">
        <w:trPr>
          <w:trHeight w:val="227"/>
        </w:trPr>
        <w:tc>
          <w:tcPr>
            <w:tcW w:w="315" w:type="dxa"/>
            <w:tcBorders>
              <w:top w:val="doub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211212</w:t>
            </w:r>
          </w:p>
        </w:tc>
        <w:tc>
          <w:tcPr>
            <w:tcW w:w="4061" w:type="dxa"/>
            <w:gridSpan w:val="2"/>
            <w:tcBorders>
              <w:top w:val="doub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REDISTRIBUTE FGN'S SHARE OF VAT</w:t>
            </w:r>
          </w:p>
        </w:tc>
        <w:tc>
          <w:tcPr>
            <w:tcW w:w="1230" w:type="dxa"/>
            <w:tcBorders>
              <w:top w:val="doub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30" w:type="dxa"/>
            <w:tcBorders>
              <w:top w:val="doub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8" w:type="dxa"/>
            <w:tcBorders>
              <w:top w:val="doub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9" w:type="dxa"/>
            <w:tcBorders>
              <w:top w:val="doub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doub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doub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211212</w:t>
            </w:r>
          </w:p>
        </w:tc>
      </w:tr>
      <w:tr w:rsidR="001C682A">
        <w:trPr>
          <w:trHeight w:val="196"/>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213</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Gross FGN's Share of VAT (15%)</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304,407,943,649</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255,456,672,381</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272,127,140,560</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281,860,331,506</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213</w:t>
            </w:r>
          </w:p>
        </w:tc>
      </w:tr>
      <w:tr w:rsidR="001C682A">
        <w:trPr>
          <w:trHeight w:val="189"/>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214</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Deductions</w:t>
            </w:r>
          </w:p>
        </w:tc>
        <w:tc>
          <w:tcPr>
            <w:tcW w:w="123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3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8"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9"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214</w:t>
            </w:r>
          </w:p>
        </w:tc>
      </w:tr>
      <w:tr w:rsidR="001C682A">
        <w:trPr>
          <w:trHeight w:val="170"/>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215</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90" w:firstLine="0"/>
              <w:jc w:val="left"/>
            </w:pPr>
            <w:r>
              <w:rPr>
                <w:rFonts w:ascii="Times New Roman" w:eastAsia="Times New Roman" w:hAnsi="Times New Roman" w:cs="Times New Roman"/>
                <w:sz w:val="13"/>
              </w:rPr>
              <w:t>FCT 1%</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54" w:firstLine="0"/>
              <w:jc w:val="right"/>
            </w:pPr>
            <w:r>
              <w:rPr>
                <w:rFonts w:ascii="Times New Roman" w:eastAsia="Times New Roman" w:hAnsi="Times New Roman" w:cs="Times New Roman"/>
                <w:sz w:val="13"/>
              </w:rPr>
              <w:t>20,293,862,910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54" w:firstLine="0"/>
              <w:jc w:val="right"/>
            </w:pPr>
            <w:r>
              <w:rPr>
                <w:rFonts w:ascii="Times New Roman" w:eastAsia="Times New Roman" w:hAnsi="Times New Roman" w:cs="Times New Roman"/>
                <w:sz w:val="13"/>
              </w:rPr>
              <w:t>17,030,444,825</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54" w:firstLine="0"/>
              <w:jc w:val="right"/>
            </w:pPr>
            <w:r>
              <w:rPr>
                <w:rFonts w:ascii="Times New Roman" w:eastAsia="Times New Roman" w:hAnsi="Times New Roman" w:cs="Times New Roman"/>
                <w:sz w:val="13"/>
              </w:rPr>
              <w:t>18,141,809,371</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55" w:firstLine="0"/>
              <w:jc w:val="right"/>
            </w:pPr>
            <w:r>
              <w:rPr>
                <w:rFonts w:ascii="Times New Roman" w:eastAsia="Times New Roman" w:hAnsi="Times New Roman" w:cs="Times New Roman"/>
                <w:sz w:val="13"/>
              </w:rPr>
              <w:t>18,790,688,767</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215</w:t>
            </w:r>
          </w:p>
        </w:tc>
      </w:tr>
      <w:tr w:rsidR="001C682A">
        <w:trPr>
          <w:trHeight w:val="195"/>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216</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Net FGN's Share of VAT Pool Account (14%)</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284,114,080,739</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238,426,227,556</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253,985,331,189</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8" w:firstLine="0"/>
              <w:jc w:val="left"/>
            </w:pPr>
            <w:r>
              <w:rPr>
                <w:rFonts w:ascii="Times New Roman" w:eastAsia="Times New Roman" w:hAnsi="Times New Roman" w:cs="Times New Roman"/>
                <w:sz w:val="13"/>
              </w:rPr>
              <w:t xml:space="preserve">            263,069,642,739</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216</w:t>
            </w:r>
          </w:p>
        </w:tc>
      </w:tr>
      <w:tr w:rsidR="001C682A">
        <w:trPr>
          <w:trHeight w:val="159"/>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217</w:t>
            </w:r>
          </w:p>
        </w:tc>
        <w:tc>
          <w:tcPr>
            <w:tcW w:w="4061" w:type="dxa"/>
            <w:gridSpan w:val="2"/>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0" w:firstLine="0"/>
              <w:jc w:val="left"/>
            </w:pPr>
            <w:r>
              <w:rPr>
                <w:rFonts w:ascii="Times New Roman" w:eastAsia="Times New Roman" w:hAnsi="Times New Roman" w:cs="Times New Roman"/>
                <w:b/>
                <w:color w:val="FFFFFF"/>
                <w:sz w:val="13"/>
              </w:rPr>
              <w:t>AMOUNT AVAILABLE FOR FGN BUDGET (excluding GOEs)</w:t>
            </w:r>
          </w:p>
        </w:tc>
        <w:tc>
          <w:tcPr>
            <w:tcW w:w="1230"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42" w:firstLine="0"/>
              <w:jc w:val="left"/>
            </w:pPr>
            <w:r>
              <w:rPr>
                <w:rFonts w:ascii="Times New Roman" w:eastAsia="Times New Roman" w:hAnsi="Times New Roman" w:cs="Times New Roman"/>
                <w:b/>
                <w:color w:val="FFFFFF"/>
                <w:sz w:val="13"/>
              </w:rPr>
              <w:t xml:space="preserve">       5,365,422,722,620</w:t>
            </w:r>
          </w:p>
        </w:tc>
        <w:tc>
          <w:tcPr>
            <w:tcW w:w="1230"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42" w:firstLine="0"/>
              <w:jc w:val="left"/>
            </w:pPr>
            <w:r>
              <w:rPr>
                <w:rFonts w:ascii="Times New Roman" w:eastAsia="Times New Roman" w:hAnsi="Times New Roman" w:cs="Times New Roman"/>
                <w:b/>
                <w:color w:val="FFFFFF"/>
                <w:sz w:val="13"/>
              </w:rPr>
              <w:t xml:space="preserve">       6,148,742,613,951</w:t>
            </w:r>
          </w:p>
        </w:tc>
        <w:tc>
          <w:tcPr>
            <w:tcW w:w="1278"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42" w:firstLine="0"/>
              <w:jc w:val="left"/>
            </w:pPr>
            <w:r>
              <w:rPr>
                <w:rFonts w:ascii="Times New Roman" w:eastAsia="Times New Roman" w:hAnsi="Times New Roman" w:cs="Times New Roman"/>
                <w:b/>
                <w:color w:val="FFFFFF"/>
                <w:sz w:val="13"/>
              </w:rPr>
              <w:t xml:space="preserve">         6,398,276,877,580</w:t>
            </w:r>
          </w:p>
        </w:tc>
        <w:tc>
          <w:tcPr>
            <w:tcW w:w="1279"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42" w:firstLine="0"/>
              <w:jc w:val="left"/>
            </w:pPr>
            <w:r>
              <w:rPr>
                <w:rFonts w:ascii="Times New Roman" w:eastAsia="Times New Roman" w:hAnsi="Times New Roman" w:cs="Times New Roman"/>
                <w:b/>
                <w:color w:val="FFFFFF"/>
                <w:sz w:val="13"/>
              </w:rPr>
              <w:t xml:space="preserve">         6,860,375,039,367</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217</w:t>
            </w:r>
          </w:p>
        </w:tc>
      </w:tr>
      <w:tr w:rsidR="001C682A">
        <w:trPr>
          <w:trHeight w:val="177"/>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218</w:t>
            </w:r>
          </w:p>
        </w:tc>
        <w:tc>
          <w:tcPr>
            <w:tcW w:w="43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13" w:firstLine="0"/>
              <w:jc w:val="center"/>
            </w:pPr>
            <w:r>
              <w:rPr>
                <w:rFonts w:ascii="Times New Roman" w:eastAsia="Times New Roman" w:hAnsi="Times New Roman" w:cs="Times New Roman"/>
                <w:sz w:val="13"/>
              </w:rPr>
              <w:t>a</w:t>
            </w: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Share of Oil Revenue</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46" w:firstLine="0"/>
              <w:jc w:val="left"/>
            </w:pPr>
            <w:r>
              <w:rPr>
                <w:rFonts w:ascii="Times New Roman" w:eastAsia="Times New Roman" w:hAnsi="Times New Roman" w:cs="Times New Roman"/>
                <w:b/>
                <w:sz w:val="13"/>
              </w:rPr>
              <w:t>1,013,766,299,265</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46" w:firstLine="0"/>
              <w:jc w:val="left"/>
            </w:pPr>
            <w:r>
              <w:rPr>
                <w:rFonts w:ascii="Times New Roman" w:eastAsia="Times New Roman" w:hAnsi="Times New Roman" w:cs="Times New Roman"/>
                <w:b/>
                <w:sz w:val="13"/>
              </w:rPr>
              <w:t>1,984,063,577,379</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94" w:firstLine="0"/>
              <w:jc w:val="left"/>
            </w:pPr>
            <w:r>
              <w:rPr>
                <w:rFonts w:ascii="Times New Roman" w:eastAsia="Times New Roman" w:hAnsi="Times New Roman" w:cs="Times New Roman"/>
                <w:b/>
                <w:sz w:val="13"/>
              </w:rPr>
              <w:t>2,262,798,515,678</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94" w:firstLine="0"/>
              <w:jc w:val="left"/>
            </w:pPr>
            <w:r>
              <w:rPr>
                <w:rFonts w:ascii="Times New Roman" w:eastAsia="Times New Roman" w:hAnsi="Times New Roman" w:cs="Times New Roman"/>
                <w:b/>
                <w:sz w:val="13"/>
              </w:rPr>
              <w:t>2,585,876,975,106</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218</w:t>
            </w:r>
          </w:p>
        </w:tc>
      </w:tr>
      <w:tr w:rsidR="001C682A">
        <w:trPr>
          <w:trHeight w:val="177"/>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219</w:t>
            </w:r>
          </w:p>
        </w:tc>
        <w:tc>
          <w:tcPr>
            <w:tcW w:w="43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6" w:firstLine="0"/>
              <w:jc w:val="center"/>
            </w:pPr>
            <w:r>
              <w:rPr>
                <w:rFonts w:ascii="Times New Roman" w:eastAsia="Times New Roman" w:hAnsi="Times New Roman" w:cs="Times New Roman"/>
                <w:sz w:val="13"/>
              </w:rPr>
              <w:t>b</w:t>
            </w: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Share of Dividend (NLNG)</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b/>
                <w:sz w:val="13"/>
              </w:rPr>
              <w:t xml:space="preserve">            80,377,200,000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b/>
                <w:sz w:val="13"/>
              </w:rPr>
              <w:t xml:space="preserve">          198,086,400,000</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b/>
                <w:sz w:val="13"/>
              </w:rPr>
              <w:t xml:space="preserve">            164,484,000,000</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b/>
                <w:sz w:val="13"/>
              </w:rPr>
              <w:t xml:space="preserve">            169,516,800,000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219</w:t>
            </w:r>
          </w:p>
        </w:tc>
      </w:tr>
      <w:tr w:rsidR="001C682A">
        <w:trPr>
          <w:trHeight w:val="170"/>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220</w:t>
            </w:r>
          </w:p>
        </w:tc>
        <w:tc>
          <w:tcPr>
            <w:tcW w:w="43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13" w:firstLine="0"/>
              <w:jc w:val="center"/>
            </w:pPr>
            <w:r>
              <w:rPr>
                <w:rFonts w:ascii="Times New Roman" w:eastAsia="Times New Roman" w:hAnsi="Times New Roman" w:cs="Times New Roman"/>
                <w:sz w:val="13"/>
              </w:rPr>
              <w:t>c</w:t>
            </w: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Share of Minerals &amp; Mining</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54" w:firstLine="0"/>
              <w:jc w:val="right"/>
            </w:pPr>
            <w:r>
              <w:rPr>
                <w:rFonts w:ascii="Times New Roman" w:eastAsia="Times New Roman" w:hAnsi="Times New Roman" w:cs="Times New Roman"/>
                <w:b/>
                <w:sz w:val="13"/>
              </w:rPr>
              <w:t>1,895,673,251</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54" w:firstLine="0"/>
              <w:jc w:val="right"/>
            </w:pPr>
            <w:r>
              <w:rPr>
                <w:rFonts w:ascii="Times New Roman" w:eastAsia="Times New Roman" w:hAnsi="Times New Roman" w:cs="Times New Roman"/>
                <w:b/>
                <w:sz w:val="13"/>
              </w:rPr>
              <w:t>2,650,393,903</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54" w:firstLine="0"/>
              <w:jc w:val="right"/>
            </w:pPr>
            <w:r>
              <w:rPr>
                <w:rFonts w:ascii="Times New Roman" w:eastAsia="Times New Roman" w:hAnsi="Times New Roman" w:cs="Times New Roman"/>
                <w:b/>
                <w:sz w:val="13"/>
              </w:rPr>
              <w:t>2,915,433,293</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55" w:firstLine="0"/>
              <w:jc w:val="right"/>
            </w:pPr>
            <w:r>
              <w:rPr>
                <w:rFonts w:ascii="Times New Roman" w:eastAsia="Times New Roman" w:hAnsi="Times New Roman" w:cs="Times New Roman"/>
                <w:b/>
                <w:sz w:val="13"/>
              </w:rPr>
              <w:t>3,206,976,622</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220</w:t>
            </w:r>
          </w:p>
        </w:tc>
      </w:tr>
      <w:tr w:rsidR="001C682A">
        <w:trPr>
          <w:trHeight w:val="170"/>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221</w:t>
            </w:r>
          </w:p>
        </w:tc>
        <w:tc>
          <w:tcPr>
            <w:tcW w:w="43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6" w:firstLine="0"/>
              <w:jc w:val="center"/>
            </w:pPr>
            <w:r>
              <w:rPr>
                <w:rFonts w:ascii="Times New Roman" w:eastAsia="Times New Roman" w:hAnsi="Times New Roman" w:cs="Times New Roman"/>
                <w:sz w:val="13"/>
              </w:rPr>
              <w:t>d</w:t>
            </w: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Share of Non-Oil</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6" w:firstLine="0"/>
              <w:jc w:val="left"/>
            </w:pPr>
            <w:r>
              <w:rPr>
                <w:rFonts w:ascii="Times New Roman" w:eastAsia="Times New Roman" w:hAnsi="Times New Roman" w:cs="Times New Roman"/>
                <w:b/>
                <w:sz w:val="13"/>
              </w:rPr>
              <w:t xml:space="preserve">       1,624,934,376,103</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6" w:firstLine="0"/>
              <w:jc w:val="left"/>
            </w:pPr>
            <w:r>
              <w:rPr>
                <w:rFonts w:ascii="Times New Roman" w:eastAsia="Times New Roman" w:hAnsi="Times New Roman" w:cs="Times New Roman"/>
                <w:b/>
                <w:sz w:val="13"/>
              </w:rPr>
              <w:t xml:space="preserve">       1,488,924,372,031</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b/>
                <w:sz w:val="13"/>
              </w:rPr>
              <w:t xml:space="preserve">         1,780,323,104,557</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b/>
                <w:sz w:val="13"/>
              </w:rPr>
              <w:t xml:space="preserve">         1,838,332,105,977</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221</w:t>
            </w:r>
          </w:p>
        </w:tc>
      </w:tr>
      <w:tr w:rsidR="001C682A">
        <w:trPr>
          <w:trHeight w:val="177"/>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222</w:t>
            </w:r>
          </w:p>
        </w:tc>
        <w:tc>
          <w:tcPr>
            <w:tcW w:w="432"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90" w:firstLine="0"/>
              <w:jc w:val="left"/>
            </w:pPr>
            <w:r>
              <w:rPr>
                <w:rFonts w:ascii="Times New Roman" w:eastAsia="Times New Roman" w:hAnsi="Times New Roman" w:cs="Times New Roman"/>
                <w:i/>
                <w:sz w:val="13"/>
              </w:rPr>
              <w:t>Share of CIT</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18" w:firstLine="0"/>
              <w:jc w:val="left"/>
            </w:pPr>
            <w:r>
              <w:rPr>
                <w:rFonts w:ascii="Times New Roman" w:eastAsia="Times New Roman" w:hAnsi="Times New Roman" w:cs="Times New Roman"/>
                <w:i/>
                <w:sz w:val="13"/>
              </w:rPr>
              <w:t>821,667,401,957</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18" w:firstLine="0"/>
              <w:jc w:val="left"/>
            </w:pPr>
            <w:r>
              <w:rPr>
                <w:rFonts w:ascii="Times New Roman" w:eastAsia="Times New Roman" w:hAnsi="Times New Roman" w:cs="Times New Roman"/>
                <w:i/>
                <w:sz w:val="13"/>
              </w:rPr>
              <w:t>681,718,292,330</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66" w:firstLine="0"/>
              <w:jc w:val="left"/>
            </w:pPr>
            <w:r>
              <w:rPr>
                <w:rFonts w:ascii="Times New Roman" w:eastAsia="Times New Roman" w:hAnsi="Times New Roman" w:cs="Times New Roman"/>
                <w:i/>
                <w:sz w:val="13"/>
              </w:rPr>
              <w:t>862,157,372,903</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66" w:firstLine="0"/>
              <w:jc w:val="left"/>
            </w:pPr>
            <w:r>
              <w:rPr>
                <w:rFonts w:ascii="Times New Roman" w:eastAsia="Times New Roman" w:hAnsi="Times New Roman" w:cs="Times New Roman"/>
                <w:i/>
                <w:sz w:val="13"/>
              </w:rPr>
              <w:t>889,952,986,408</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222</w:t>
            </w:r>
          </w:p>
        </w:tc>
      </w:tr>
      <w:tr w:rsidR="001C682A">
        <w:trPr>
          <w:trHeight w:val="177"/>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223</w:t>
            </w:r>
          </w:p>
        </w:tc>
        <w:tc>
          <w:tcPr>
            <w:tcW w:w="432"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90" w:firstLine="0"/>
              <w:jc w:val="left"/>
            </w:pPr>
            <w:r>
              <w:rPr>
                <w:rFonts w:ascii="Times New Roman" w:eastAsia="Times New Roman" w:hAnsi="Times New Roman" w:cs="Times New Roman"/>
                <w:i/>
                <w:sz w:val="13"/>
              </w:rPr>
              <w:t>Share of VAT</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18" w:firstLine="0"/>
              <w:jc w:val="left"/>
            </w:pPr>
            <w:r>
              <w:rPr>
                <w:rFonts w:ascii="Times New Roman" w:eastAsia="Times New Roman" w:hAnsi="Times New Roman" w:cs="Times New Roman"/>
                <w:i/>
                <w:sz w:val="13"/>
              </w:rPr>
              <w:t>284,114,080,739</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18" w:firstLine="0"/>
              <w:jc w:val="left"/>
            </w:pPr>
            <w:r>
              <w:rPr>
                <w:rFonts w:ascii="Times New Roman" w:eastAsia="Times New Roman" w:hAnsi="Times New Roman" w:cs="Times New Roman"/>
                <w:i/>
                <w:sz w:val="13"/>
              </w:rPr>
              <w:t>238,426,227,556</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66" w:firstLine="0"/>
              <w:jc w:val="left"/>
            </w:pPr>
            <w:r>
              <w:rPr>
                <w:rFonts w:ascii="Times New Roman" w:eastAsia="Times New Roman" w:hAnsi="Times New Roman" w:cs="Times New Roman"/>
                <w:i/>
                <w:sz w:val="13"/>
              </w:rPr>
              <w:t>253,985,331,189</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66" w:firstLine="0"/>
              <w:jc w:val="left"/>
            </w:pPr>
            <w:r>
              <w:rPr>
                <w:rFonts w:ascii="Times New Roman" w:eastAsia="Times New Roman" w:hAnsi="Times New Roman" w:cs="Times New Roman"/>
                <w:i/>
                <w:sz w:val="13"/>
              </w:rPr>
              <w:t>263,069,642,739</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223</w:t>
            </w:r>
          </w:p>
        </w:tc>
      </w:tr>
      <w:tr w:rsidR="001C682A">
        <w:trPr>
          <w:trHeight w:val="177"/>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224</w:t>
            </w:r>
          </w:p>
        </w:tc>
        <w:tc>
          <w:tcPr>
            <w:tcW w:w="432"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90" w:firstLine="0"/>
              <w:jc w:val="left"/>
            </w:pPr>
            <w:r>
              <w:rPr>
                <w:rFonts w:ascii="Times New Roman" w:eastAsia="Times New Roman" w:hAnsi="Times New Roman" w:cs="Times New Roman"/>
                <w:i/>
                <w:sz w:val="13"/>
              </w:rPr>
              <w:t>Share of Customs</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18" w:firstLine="0"/>
              <w:jc w:val="left"/>
            </w:pPr>
            <w:r>
              <w:rPr>
                <w:rFonts w:ascii="Times New Roman" w:eastAsia="Times New Roman" w:hAnsi="Times New Roman" w:cs="Times New Roman"/>
                <w:i/>
                <w:sz w:val="13"/>
              </w:rPr>
              <w:t>450,697,323,386</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18" w:firstLine="0"/>
              <w:jc w:val="left"/>
            </w:pPr>
            <w:r>
              <w:rPr>
                <w:rFonts w:ascii="Times New Roman" w:eastAsia="Times New Roman" w:hAnsi="Times New Roman" w:cs="Times New Roman"/>
                <w:i/>
                <w:sz w:val="13"/>
              </w:rPr>
              <w:t>508,269,596,837</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66" w:firstLine="0"/>
              <w:jc w:val="left"/>
            </w:pPr>
            <w:r>
              <w:rPr>
                <w:rFonts w:ascii="Times New Roman" w:eastAsia="Times New Roman" w:hAnsi="Times New Roman" w:cs="Times New Roman"/>
                <w:i/>
                <w:sz w:val="13"/>
              </w:rPr>
              <w:t>595,509,820,054</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66" w:firstLine="0"/>
              <w:jc w:val="left"/>
            </w:pPr>
            <w:r>
              <w:rPr>
                <w:rFonts w:ascii="Times New Roman" w:eastAsia="Times New Roman" w:hAnsi="Times New Roman" w:cs="Times New Roman"/>
                <w:i/>
                <w:sz w:val="13"/>
              </w:rPr>
              <w:t>614,454,330,394</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224</w:t>
            </w:r>
          </w:p>
        </w:tc>
      </w:tr>
      <w:tr w:rsidR="001C682A">
        <w:trPr>
          <w:trHeight w:val="177"/>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225</w:t>
            </w:r>
          </w:p>
        </w:tc>
        <w:tc>
          <w:tcPr>
            <w:tcW w:w="432"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90" w:firstLine="0"/>
              <w:jc w:val="left"/>
            </w:pPr>
            <w:r>
              <w:rPr>
                <w:rFonts w:ascii="Times New Roman" w:eastAsia="Times New Roman" w:hAnsi="Times New Roman" w:cs="Times New Roman"/>
                <w:i/>
                <w:sz w:val="13"/>
              </w:rPr>
              <w:t>Share of Federation Acct. Levies</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78" w:firstLine="0"/>
              <w:jc w:val="left"/>
            </w:pPr>
            <w:r>
              <w:rPr>
                <w:rFonts w:ascii="Times New Roman" w:eastAsia="Times New Roman" w:hAnsi="Times New Roman" w:cs="Times New Roman"/>
                <w:i/>
                <w:sz w:val="13"/>
              </w:rPr>
              <w:t>68,455,570,020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78" w:firstLine="0"/>
              <w:jc w:val="left"/>
            </w:pPr>
            <w:r>
              <w:rPr>
                <w:rFonts w:ascii="Times New Roman" w:eastAsia="Times New Roman" w:hAnsi="Times New Roman" w:cs="Times New Roman"/>
                <w:i/>
                <w:sz w:val="13"/>
              </w:rPr>
              <w:t>60,510,255,308</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72" w:firstLine="0"/>
              <w:jc w:val="right"/>
            </w:pPr>
            <w:r>
              <w:rPr>
                <w:rFonts w:ascii="Times New Roman" w:eastAsia="Times New Roman" w:hAnsi="Times New Roman" w:cs="Times New Roman"/>
                <w:i/>
                <w:sz w:val="13"/>
              </w:rPr>
              <w:t>68,670,580,411</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73" w:firstLine="0"/>
              <w:jc w:val="right"/>
            </w:pPr>
            <w:r>
              <w:rPr>
                <w:rFonts w:ascii="Times New Roman" w:eastAsia="Times New Roman" w:hAnsi="Times New Roman" w:cs="Times New Roman"/>
                <w:i/>
                <w:sz w:val="13"/>
              </w:rPr>
              <w:t>70,855,146,437</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225</w:t>
            </w:r>
          </w:p>
        </w:tc>
      </w:tr>
      <w:tr w:rsidR="001C682A">
        <w:trPr>
          <w:trHeight w:val="177"/>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226</w:t>
            </w:r>
          </w:p>
        </w:tc>
        <w:tc>
          <w:tcPr>
            <w:tcW w:w="43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13" w:firstLine="0"/>
              <w:jc w:val="center"/>
            </w:pPr>
            <w:r>
              <w:rPr>
                <w:rFonts w:ascii="Times New Roman" w:eastAsia="Times New Roman" w:hAnsi="Times New Roman" w:cs="Times New Roman"/>
                <w:sz w:val="13"/>
              </w:rPr>
              <w:t>e</w:t>
            </w: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Revenue from GOEs</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55" w:firstLine="0"/>
              <w:jc w:val="right"/>
            </w:pPr>
            <w:r>
              <w:rPr>
                <w:rFonts w:ascii="Times New Roman" w:eastAsia="Times New Roman" w:hAnsi="Times New Roman" w:cs="Times New Roman"/>
                <w:sz w:val="13"/>
              </w:rPr>
              <w:t>990,113,888,722</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46" w:firstLine="0"/>
              <w:jc w:val="left"/>
            </w:pPr>
            <w:r>
              <w:rPr>
                <w:rFonts w:ascii="Times New Roman" w:eastAsia="Times New Roman" w:hAnsi="Times New Roman" w:cs="Times New Roman"/>
                <w:sz w:val="13"/>
              </w:rPr>
              <w:t>2,173,860,133,098</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94" w:firstLine="0"/>
              <w:jc w:val="left"/>
            </w:pPr>
            <w:r>
              <w:rPr>
                <w:rFonts w:ascii="Times New Roman" w:eastAsia="Times New Roman" w:hAnsi="Times New Roman" w:cs="Times New Roman"/>
                <w:sz w:val="13"/>
              </w:rPr>
              <w:t>2,377,065,648,677</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94" w:firstLine="0"/>
              <w:jc w:val="left"/>
            </w:pPr>
            <w:r>
              <w:rPr>
                <w:rFonts w:ascii="Times New Roman" w:eastAsia="Times New Roman" w:hAnsi="Times New Roman" w:cs="Times New Roman"/>
                <w:sz w:val="13"/>
              </w:rPr>
              <w:t>2,471,678,354,010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226</w:t>
            </w:r>
          </w:p>
        </w:tc>
      </w:tr>
      <w:tr w:rsidR="001C682A">
        <w:trPr>
          <w:trHeight w:val="329"/>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227</w:t>
            </w:r>
          </w:p>
        </w:tc>
        <w:tc>
          <w:tcPr>
            <w:tcW w:w="43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2" w:firstLine="0"/>
              <w:jc w:val="center"/>
            </w:pPr>
            <w:r>
              <w:rPr>
                <w:rFonts w:ascii="Times New Roman" w:eastAsia="Times New Roman" w:hAnsi="Times New Roman" w:cs="Times New Roman"/>
                <w:sz w:val="13"/>
              </w:rPr>
              <w:t>f</w:t>
            </w: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GOEs Operating Surplus (80% of which is captured in Independent Revenue)</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15" w:firstLine="0"/>
              <w:jc w:val="right"/>
            </w:pPr>
            <w:r>
              <w:rPr>
                <w:rFonts w:ascii="Times New Roman" w:eastAsia="Times New Roman" w:hAnsi="Times New Roman" w:cs="Times New Roman"/>
                <w:color w:val="FF0000"/>
                <w:sz w:val="13"/>
              </w:rPr>
              <w:t>(520,531,126,098)</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15" w:firstLine="0"/>
              <w:jc w:val="right"/>
            </w:pPr>
            <w:r>
              <w:rPr>
                <w:rFonts w:ascii="Times New Roman" w:eastAsia="Times New Roman" w:hAnsi="Times New Roman" w:cs="Times New Roman"/>
                <w:color w:val="FF0000"/>
                <w:sz w:val="13"/>
              </w:rPr>
              <w:t>(825,023,025,138)</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15" w:firstLine="0"/>
              <w:jc w:val="right"/>
            </w:pPr>
            <w:r>
              <w:rPr>
                <w:rFonts w:ascii="Times New Roman" w:eastAsia="Times New Roman" w:hAnsi="Times New Roman" w:cs="Times New Roman"/>
                <w:color w:val="FF0000"/>
                <w:sz w:val="13"/>
              </w:rPr>
              <w:t>(902,637,079,581)</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15" w:firstLine="0"/>
              <w:jc w:val="right"/>
            </w:pPr>
            <w:r>
              <w:rPr>
                <w:rFonts w:ascii="Times New Roman" w:eastAsia="Times New Roman" w:hAnsi="Times New Roman" w:cs="Times New Roman"/>
                <w:color w:val="FF0000"/>
                <w:sz w:val="13"/>
              </w:rPr>
              <w:t>(979,770,761,775)</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227</w:t>
            </w:r>
          </w:p>
        </w:tc>
      </w:tr>
      <w:tr w:rsidR="001C682A">
        <w:trPr>
          <w:trHeight w:val="177"/>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228</w:t>
            </w:r>
          </w:p>
        </w:tc>
        <w:tc>
          <w:tcPr>
            <w:tcW w:w="43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6" w:firstLine="0"/>
              <w:jc w:val="center"/>
            </w:pPr>
            <w:r>
              <w:rPr>
                <w:rFonts w:ascii="Times New Roman" w:eastAsia="Times New Roman" w:hAnsi="Times New Roman" w:cs="Times New Roman"/>
                <w:sz w:val="13"/>
              </w:rPr>
              <w:t>g</w:t>
            </w: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Independent Revenue</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6" w:firstLine="0"/>
              <w:jc w:val="left"/>
            </w:pPr>
            <w:r>
              <w:rPr>
                <w:rFonts w:ascii="Times New Roman" w:eastAsia="Times New Roman" w:hAnsi="Times New Roman" w:cs="Times New Roman"/>
                <w:sz w:val="13"/>
              </w:rPr>
              <w:t xml:space="preserve">          932,842,266,640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6" w:firstLine="0"/>
              <w:jc w:val="left"/>
            </w:pPr>
            <w:r>
              <w:rPr>
                <w:rFonts w:ascii="Times New Roman" w:eastAsia="Times New Roman" w:hAnsi="Times New Roman" w:cs="Times New Roman"/>
                <w:sz w:val="13"/>
              </w:rPr>
              <w:t xml:space="preserve">          961,898,590,939</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1,054,984,221,846</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1,186,634,579,635</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228</w:t>
            </w:r>
          </w:p>
        </w:tc>
      </w:tr>
      <w:tr w:rsidR="001C682A">
        <w:trPr>
          <w:trHeight w:val="177"/>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229</w:t>
            </w:r>
          </w:p>
        </w:tc>
        <w:tc>
          <w:tcPr>
            <w:tcW w:w="43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6" w:firstLine="0"/>
              <w:jc w:val="center"/>
            </w:pPr>
            <w:r>
              <w:rPr>
                <w:rFonts w:ascii="Times New Roman" w:eastAsia="Times New Roman" w:hAnsi="Times New Roman" w:cs="Times New Roman"/>
                <w:sz w:val="13"/>
              </w:rPr>
              <w:t>h</w:t>
            </w: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Transfers from Special Levies Accounts</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6" w:firstLine="0"/>
              <w:jc w:val="left"/>
            </w:pPr>
            <w:r>
              <w:rPr>
                <w:rFonts w:ascii="Times New Roman" w:eastAsia="Times New Roman" w:hAnsi="Times New Roman" w:cs="Times New Roman"/>
                <w:sz w:val="13"/>
              </w:rPr>
              <w:t xml:space="preserve">          300,000,000,000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6" w:firstLine="0"/>
              <w:jc w:val="left"/>
            </w:pPr>
            <w:r>
              <w:rPr>
                <w:rFonts w:ascii="Times New Roman" w:eastAsia="Times New Roman" w:hAnsi="Times New Roman" w:cs="Times New Roman"/>
                <w:sz w:val="13"/>
              </w:rPr>
              <w:t xml:space="preserve">          300,000,000,000</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300,000,000,000</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300,000,000,000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229</w:t>
            </w:r>
          </w:p>
        </w:tc>
      </w:tr>
      <w:tr w:rsidR="001C682A">
        <w:trPr>
          <w:trHeight w:val="177"/>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230</w:t>
            </w:r>
          </w:p>
        </w:tc>
        <w:tc>
          <w:tcPr>
            <w:tcW w:w="43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9" w:firstLine="0"/>
              <w:jc w:val="center"/>
            </w:pPr>
            <w:proofErr w:type="spellStart"/>
            <w:r>
              <w:rPr>
                <w:rFonts w:ascii="Times New Roman" w:eastAsia="Times New Roman" w:hAnsi="Times New Roman" w:cs="Times New Roman"/>
                <w:sz w:val="13"/>
              </w:rPr>
              <w:t>i</w:t>
            </w:r>
            <w:proofErr w:type="spellEnd"/>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Transfers from Special Accounts</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6" w:firstLine="0"/>
              <w:jc w:val="left"/>
            </w:pPr>
            <w:r>
              <w:rPr>
                <w:rFonts w:ascii="Times New Roman" w:eastAsia="Times New Roman" w:hAnsi="Times New Roman" w:cs="Times New Roman"/>
                <w:sz w:val="13"/>
              </w:rPr>
              <w:t xml:space="preserve">          345,000,000,000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8"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9"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230</w:t>
            </w:r>
          </w:p>
        </w:tc>
      </w:tr>
      <w:tr w:rsidR="001C682A">
        <w:trPr>
          <w:trHeight w:val="177"/>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244</w:t>
            </w:r>
          </w:p>
        </w:tc>
        <w:tc>
          <w:tcPr>
            <w:tcW w:w="43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9" w:firstLine="0"/>
              <w:jc w:val="center"/>
            </w:pPr>
            <w:r>
              <w:rPr>
                <w:rFonts w:ascii="Times New Roman" w:eastAsia="Times New Roman" w:hAnsi="Times New Roman" w:cs="Times New Roman"/>
                <w:sz w:val="13"/>
              </w:rPr>
              <w:t>j</w:t>
            </w: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Signature Bonus / Renewals / Early Renewals</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6" w:firstLine="0"/>
              <w:jc w:val="left"/>
            </w:pPr>
            <w:r>
              <w:rPr>
                <w:rFonts w:ascii="Times New Roman" w:eastAsia="Times New Roman" w:hAnsi="Times New Roman" w:cs="Times New Roman"/>
                <w:sz w:val="13"/>
              </w:rPr>
              <w:t xml:space="preserve">          350,521,054,200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6" w:firstLine="0"/>
              <w:jc w:val="left"/>
            </w:pPr>
            <w:r>
              <w:rPr>
                <w:rFonts w:ascii="Times New Roman" w:eastAsia="Times New Roman" w:hAnsi="Times New Roman" w:cs="Times New Roman"/>
                <w:sz w:val="13"/>
              </w:rPr>
              <w:t xml:space="preserve">          343,380,980,160</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35,876,085,192</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sz w:val="13"/>
              </w:rPr>
              <w:t xml:space="preserve">                                  -</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244</w:t>
            </w:r>
          </w:p>
        </w:tc>
      </w:tr>
      <w:tr w:rsidR="001C682A">
        <w:trPr>
          <w:trHeight w:val="171"/>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246</w:t>
            </w:r>
          </w:p>
        </w:tc>
        <w:tc>
          <w:tcPr>
            <w:tcW w:w="43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6" w:firstLine="0"/>
              <w:jc w:val="center"/>
            </w:pPr>
            <w:r>
              <w:rPr>
                <w:rFonts w:ascii="Times New Roman" w:eastAsia="Times New Roman" w:hAnsi="Times New Roman" w:cs="Times New Roman"/>
                <w:sz w:val="13"/>
              </w:rPr>
              <w:t>k</w:t>
            </w: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Domestic Recoveries + Assets + Fines</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6" w:firstLine="0"/>
              <w:jc w:val="left"/>
            </w:pPr>
            <w:r>
              <w:rPr>
                <w:rFonts w:ascii="Times New Roman" w:eastAsia="Times New Roman" w:hAnsi="Times New Roman" w:cs="Times New Roman"/>
                <w:sz w:val="13"/>
              </w:rPr>
              <w:t xml:space="preserve">          237,012,653,161</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2" w:firstLine="0"/>
              <w:jc w:val="center"/>
            </w:pPr>
            <w:r>
              <w:rPr>
                <w:rFonts w:ascii="Times New Roman" w:eastAsia="Times New Roman" w:hAnsi="Times New Roman" w:cs="Times New Roman"/>
                <w:sz w:val="13"/>
              </w:rPr>
              <w:t xml:space="preserve">            32,675,085,307</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26,933,139,822</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33,587,644,833</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246</w:t>
            </w:r>
          </w:p>
        </w:tc>
      </w:tr>
      <w:tr w:rsidR="001C682A">
        <w:trPr>
          <w:trHeight w:val="170"/>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252</w:t>
            </w:r>
          </w:p>
        </w:tc>
        <w:tc>
          <w:tcPr>
            <w:tcW w:w="43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9" w:firstLine="0"/>
              <w:jc w:val="center"/>
            </w:pPr>
            <w:r>
              <w:rPr>
                <w:rFonts w:ascii="Times New Roman" w:eastAsia="Times New Roman" w:hAnsi="Times New Roman" w:cs="Times New Roman"/>
                <w:sz w:val="13"/>
              </w:rPr>
              <w:t>l</w:t>
            </w: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Stamp Duty</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6" w:firstLine="0"/>
              <w:jc w:val="left"/>
            </w:pPr>
            <w:r>
              <w:rPr>
                <w:rFonts w:ascii="Times New Roman" w:eastAsia="Times New Roman" w:hAnsi="Times New Roman" w:cs="Times New Roman"/>
                <w:sz w:val="13"/>
              </w:rPr>
              <w:t xml:space="preserve">          200,000,000,000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6" w:firstLine="0"/>
              <w:jc w:val="left"/>
            </w:pPr>
            <w:r>
              <w:rPr>
                <w:rFonts w:ascii="Times New Roman" w:eastAsia="Times New Roman" w:hAnsi="Times New Roman" w:cs="Times New Roman"/>
                <w:sz w:val="13"/>
              </w:rPr>
              <w:t xml:space="preserve">          500,000,000,000</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500,000,000,000</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500,000,000,000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164"/>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254</w:t>
            </w:r>
          </w:p>
        </w:tc>
        <w:tc>
          <w:tcPr>
            <w:tcW w:w="43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6" w:firstLine="0"/>
              <w:jc w:val="center"/>
            </w:pPr>
            <w:r>
              <w:rPr>
                <w:rFonts w:ascii="Times New Roman" w:eastAsia="Times New Roman" w:hAnsi="Times New Roman" w:cs="Times New Roman"/>
                <w:sz w:val="13"/>
              </w:rPr>
              <w:t>n</w:t>
            </w: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Grants and Donor Funding</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2" w:firstLine="0"/>
              <w:jc w:val="center"/>
            </w:pPr>
            <w:r>
              <w:rPr>
                <w:rFonts w:ascii="Times New Roman" w:eastAsia="Times New Roman" w:hAnsi="Times New Roman" w:cs="Times New Roman"/>
                <w:sz w:val="13"/>
              </w:rPr>
              <w:t xml:space="preserve">            42,703,200,000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6" w:firstLine="0"/>
              <w:jc w:val="left"/>
            </w:pPr>
            <w:r>
              <w:rPr>
                <w:rFonts w:ascii="Times New Roman" w:eastAsia="Times New Roman" w:hAnsi="Times New Roman" w:cs="Times New Roman"/>
                <w:sz w:val="13"/>
              </w:rPr>
              <w:t xml:space="preserve">          337,063,214,232</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269,962,377,192</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243,219,957,192</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254</w:t>
            </w:r>
          </w:p>
        </w:tc>
      </w:tr>
      <w:tr w:rsidR="001C682A">
        <w:trPr>
          <w:trHeight w:val="335"/>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255</w:t>
            </w:r>
          </w:p>
        </w:tc>
        <w:tc>
          <w:tcPr>
            <w:tcW w:w="43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6" w:firstLine="0"/>
              <w:jc w:val="center"/>
            </w:pPr>
            <w:r>
              <w:rPr>
                <w:rFonts w:ascii="Times New Roman" w:eastAsia="Times New Roman" w:hAnsi="Times New Roman" w:cs="Times New Roman"/>
                <w:sz w:val="13"/>
              </w:rPr>
              <w:t>o</w:t>
            </w: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Transfers from Special Accounts for COVID-19 Intervention Across the Federation</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6" w:firstLine="0"/>
              <w:jc w:val="left"/>
            </w:pPr>
            <w:r>
              <w:rPr>
                <w:rFonts w:ascii="Times New Roman" w:eastAsia="Times New Roman" w:hAnsi="Times New Roman" w:cs="Times New Roman"/>
                <w:sz w:val="13"/>
              </w:rPr>
              <w:t xml:space="preserve">          186,370,000,000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8"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9"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164"/>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lastRenderedPageBreak/>
              <w:t>256</w:t>
            </w:r>
          </w:p>
        </w:tc>
        <w:tc>
          <w:tcPr>
            <w:tcW w:w="43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6" w:firstLine="0"/>
              <w:jc w:val="center"/>
            </w:pPr>
            <w:r>
              <w:rPr>
                <w:rFonts w:ascii="Times New Roman" w:eastAsia="Times New Roman" w:hAnsi="Times New Roman" w:cs="Times New Roman"/>
                <w:sz w:val="13"/>
              </w:rPr>
              <w:t>p</w:t>
            </w: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Grants and Donations for COVID-19 Crisis Intervention Fund</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2" w:firstLine="0"/>
              <w:jc w:val="center"/>
            </w:pPr>
            <w:r>
              <w:rPr>
                <w:rFonts w:ascii="Times New Roman" w:eastAsia="Times New Roman" w:hAnsi="Times New Roman" w:cs="Times New Roman"/>
                <w:sz w:val="13"/>
              </w:rPr>
              <w:t xml:space="preserve">            50,000,000,000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8"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9"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158"/>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258</w:t>
            </w:r>
          </w:p>
        </w:tc>
        <w:tc>
          <w:tcPr>
            <w:tcW w:w="4061" w:type="dxa"/>
            <w:gridSpan w:val="2"/>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0" w:firstLine="0"/>
              <w:jc w:val="left"/>
            </w:pPr>
            <w:r>
              <w:rPr>
                <w:rFonts w:ascii="Times New Roman" w:eastAsia="Times New Roman" w:hAnsi="Times New Roman" w:cs="Times New Roman"/>
                <w:b/>
                <w:color w:val="FFFFFF"/>
                <w:sz w:val="13"/>
              </w:rPr>
              <w:t>AMOUNT AVAILABLE FOR FGN BUDGET (including GOEs)</w:t>
            </w:r>
          </w:p>
        </w:tc>
        <w:tc>
          <w:tcPr>
            <w:tcW w:w="1230"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42" w:firstLine="0"/>
              <w:jc w:val="left"/>
            </w:pPr>
            <w:r>
              <w:rPr>
                <w:rFonts w:ascii="Times New Roman" w:eastAsia="Times New Roman" w:hAnsi="Times New Roman" w:cs="Times New Roman"/>
                <w:b/>
                <w:color w:val="FFFFFF"/>
                <w:sz w:val="13"/>
              </w:rPr>
              <w:t xml:space="preserve">       5,835,005,485,245</w:t>
            </w:r>
          </w:p>
        </w:tc>
        <w:tc>
          <w:tcPr>
            <w:tcW w:w="1230"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42" w:firstLine="0"/>
              <w:jc w:val="left"/>
            </w:pPr>
            <w:r>
              <w:rPr>
                <w:rFonts w:ascii="Times New Roman" w:eastAsia="Times New Roman" w:hAnsi="Times New Roman" w:cs="Times New Roman"/>
                <w:b/>
                <w:color w:val="FFFFFF"/>
                <w:sz w:val="13"/>
              </w:rPr>
              <w:t xml:space="preserve">       7,497,579,721,911</w:t>
            </w:r>
          </w:p>
        </w:tc>
        <w:tc>
          <w:tcPr>
            <w:tcW w:w="1278"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42" w:firstLine="0"/>
              <w:jc w:val="left"/>
            </w:pPr>
            <w:r>
              <w:rPr>
                <w:rFonts w:ascii="Times New Roman" w:eastAsia="Times New Roman" w:hAnsi="Times New Roman" w:cs="Times New Roman"/>
                <w:b/>
                <w:color w:val="FFFFFF"/>
                <w:sz w:val="13"/>
              </w:rPr>
              <w:t xml:space="preserve">         7,872,705,446,676</w:t>
            </w:r>
          </w:p>
        </w:tc>
        <w:tc>
          <w:tcPr>
            <w:tcW w:w="1279"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42" w:firstLine="0"/>
              <w:jc w:val="left"/>
            </w:pPr>
            <w:r>
              <w:rPr>
                <w:rFonts w:ascii="Times New Roman" w:eastAsia="Times New Roman" w:hAnsi="Times New Roman" w:cs="Times New Roman"/>
                <w:b/>
                <w:color w:val="FFFFFF"/>
                <w:sz w:val="13"/>
              </w:rPr>
              <w:t xml:space="preserve">         8,352,282,631,601</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258</w:t>
            </w:r>
          </w:p>
        </w:tc>
      </w:tr>
      <w:tr w:rsidR="001C682A">
        <w:trPr>
          <w:trHeight w:val="189"/>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259</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3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3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8"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79"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259</w:t>
            </w:r>
          </w:p>
        </w:tc>
      </w:tr>
      <w:tr w:rsidR="001C682A">
        <w:trPr>
          <w:trHeight w:val="164"/>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260</w:t>
            </w:r>
          </w:p>
        </w:tc>
        <w:tc>
          <w:tcPr>
            <w:tcW w:w="4061" w:type="dxa"/>
            <w:gridSpan w:val="2"/>
            <w:tcBorders>
              <w:top w:val="single" w:sz="3" w:space="0" w:color="000000"/>
              <w:left w:val="single" w:sz="2" w:space="0" w:color="000000"/>
              <w:bottom w:val="single" w:sz="3" w:space="0" w:color="000000"/>
              <w:right w:val="single" w:sz="2" w:space="0" w:color="000000"/>
            </w:tcBorders>
            <w:shd w:val="clear" w:color="auto" w:fill="000000"/>
          </w:tcPr>
          <w:p w:rsidR="001C682A" w:rsidRDefault="00B03C38">
            <w:pPr>
              <w:spacing w:after="0" w:line="259" w:lineRule="auto"/>
              <w:ind w:left="0" w:firstLine="0"/>
              <w:jc w:val="left"/>
            </w:pPr>
            <w:r>
              <w:rPr>
                <w:rFonts w:ascii="Times New Roman" w:eastAsia="Times New Roman" w:hAnsi="Times New Roman" w:cs="Times New Roman"/>
                <w:b/>
                <w:color w:val="FFFFFF"/>
                <w:sz w:val="13"/>
              </w:rPr>
              <w:t>TOTAL FEDERAL GOVERNMENT EXPENDITURE</w:t>
            </w:r>
          </w:p>
        </w:tc>
        <w:tc>
          <w:tcPr>
            <w:tcW w:w="1230" w:type="dxa"/>
            <w:tcBorders>
              <w:top w:val="single" w:sz="3" w:space="0" w:color="000000"/>
              <w:left w:val="single" w:sz="2" w:space="0" w:color="000000"/>
              <w:bottom w:val="single" w:sz="3" w:space="0" w:color="000000"/>
              <w:right w:val="single" w:sz="2" w:space="0" w:color="000000"/>
            </w:tcBorders>
            <w:shd w:val="clear" w:color="auto" w:fill="000000"/>
          </w:tcPr>
          <w:p w:rsidR="001C682A" w:rsidRDefault="00B03C38">
            <w:pPr>
              <w:spacing w:after="0" w:line="259" w:lineRule="auto"/>
              <w:ind w:left="42" w:firstLine="0"/>
              <w:jc w:val="left"/>
            </w:pPr>
            <w:r>
              <w:rPr>
                <w:rFonts w:ascii="Times New Roman" w:eastAsia="Times New Roman" w:hAnsi="Times New Roman" w:cs="Times New Roman"/>
                <w:b/>
                <w:color w:val="FFFFFF"/>
                <w:sz w:val="13"/>
              </w:rPr>
              <w:t xml:space="preserve">     10,810,548,872,072</w:t>
            </w:r>
          </w:p>
        </w:tc>
        <w:tc>
          <w:tcPr>
            <w:tcW w:w="1230" w:type="dxa"/>
            <w:tcBorders>
              <w:top w:val="single" w:sz="3" w:space="0" w:color="000000"/>
              <w:left w:val="single" w:sz="2" w:space="0" w:color="000000"/>
              <w:bottom w:val="single" w:sz="3" w:space="0" w:color="000000"/>
              <w:right w:val="single" w:sz="2" w:space="0" w:color="000000"/>
            </w:tcBorders>
            <w:shd w:val="clear" w:color="auto" w:fill="000000"/>
          </w:tcPr>
          <w:p w:rsidR="001C682A" w:rsidRDefault="00B03C38">
            <w:pPr>
              <w:spacing w:after="0" w:line="259" w:lineRule="auto"/>
              <w:ind w:left="42" w:firstLine="0"/>
              <w:jc w:val="left"/>
            </w:pPr>
            <w:r>
              <w:rPr>
                <w:rFonts w:ascii="Times New Roman" w:eastAsia="Times New Roman" w:hAnsi="Times New Roman" w:cs="Times New Roman"/>
                <w:b/>
                <w:color w:val="FFFFFF"/>
                <w:sz w:val="13"/>
              </w:rPr>
              <w:t xml:space="preserve">     12,658,009,802,282</w:t>
            </w:r>
          </w:p>
        </w:tc>
        <w:tc>
          <w:tcPr>
            <w:tcW w:w="1278" w:type="dxa"/>
            <w:tcBorders>
              <w:top w:val="single" w:sz="3" w:space="0" w:color="000000"/>
              <w:left w:val="single" w:sz="2" w:space="0" w:color="000000"/>
              <w:bottom w:val="single" w:sz="3" w:space="0" w:color="000000"/>
              <w:right w:val="single" w:sz="2" w:space="0" w:color="000000"/>
            </w:tcBorders>
            <w:shd w:val="clear" w:color="auto" w:fill="000000"/>
          </w:tcPr>
          <w:p w:rsidR="001C682A" w:rsidRDefault="00B03C38">
            <w:pPr>
              <w:spacing w:after="0" w:line="259" w:lineRule="auto"/>
              <w:ind w:left="42" w:firstLine="0"/>
              <w:jc w:val="left"/>
            </w:pPr>
            <w:r>
              <w:rPr>
                <w:rFonts w:ascii="Times New Roman" w:eastAsia="Times New Roman" w:hAnsi="Times New Roman" w:cs="Times New Roman"/>
                <w:b/>
                <w:color w:val="FFFFFF"/>
                <w:sz w:val="13"/>
              </w:rPr>
              <w:t xml:space="preserve">       13,273,365,740,079</w:t>
            </w:r>
          </w:p>
        </w:tc>
        <w:tc>
          <w:tcPr>
            <w:tcW w:w="1279" w:type="dxa"/>
            <w:tcBorders>
              <w:top w:val="single" w:sz="3" w:space="0" w:color="000000"/>
              <w:left w:val="single" w:sz="2" w:space="0" w:color="000000"/>
              <w:bottom w:val="single" w:sz="3" w:space="0" w:color="000000"/>
              <w:right w:val="single" w:sz="2" w:space="0" w:color="000000"/>
            </w:tcBorders>
            <w:shd w:val="clear" w:color="auto" w:fill="000000"/>
          </w:tcPr>
          <w:p w:rsidR="001C682A" w:rsidRDefault="00B03C38">
            <w:pPr>
              <w:spacing w:after="0" w:line="259" w:lineRule="auto"/>
              <w:ind w:left="42" w:firstLine="0"/>
              <w:jc w:val="left"/>
            </w:pPr>
            <w:r>
              <w:rPr>
                <w:rFonts w:ascii="Times New Roman" w:eastAsia="Times New Roman" w:hAnsi="Times New Roman" w:cs="Times New Roman"/>
                <w:b/>
                <w:color w:val="FFFFFF"/>
                <w:sz w:val="13"/>
              </w:rPr>
              <w:t xml:space="preserve">       13,373,376,899,585</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260</w:t>
            </w:r>
          </w:p>
        </w:tc>
      </w:tr>
      <w:tr w:rsidR="001C682A">
        <w:trPr>
          <w:trHeight w:val="164"/>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261</w:t>
            </w:r>
          </w:p>
        </w:tc>
        <w:tc>
          <w:tcPr>
            <w:tcW w:w="4061"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STATUTORY TRANSFER</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6" w:firstLine="0"/>
              <w:jc w:val="left"/>
            </w:pPr>
            <w:r>
              <w:rPr>
                <w:rFonts w:ascii="Times New Roman" w:eastAsia="Times New Roman" w:hAnsi="Times New Roman" w:cs="Times New Roman"/>
                <w:b/>
                <w:sz w:val="13"/>
              </w:rPr>
              <w:t xml:space="preserve">          428,032,186,792</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6" w:firstLine="0"/>
              <w:jc w:val="left"/>
            </w:pPr>
            <w:r>
              <w:rPr>
                <w:rFonts w:ascii="Times New Roman" w:eastAsia="Times New Roman" w:hAnsi="Times New Roman" w:cs="Times New Roman"/>
                <w:b/>
                <w:sz w:val="13"/>
              </w:rPr>
              <w:t xml:space="preserve">          481,410,141,366</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b/>
                <w:sz w:val="13"/>
              </w:rPr>
              <w:t xml:space="preserve">            514,365,958,830</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b/>
                <w:sz w:val="13"/>
              </w:rPr>
              <w:t xml:space="preserve">            536,438,479,811</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261</w:t>
            </w:r>
          </w:p>
        </w:tc>
      </w:tr>
      <w:tr w:rsidR="001C682A">
        <w:trPr>
          <w:trHeight w:val="177"/>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262</w:t>
            </w:r>
          </w:p>
        </w:tc>
        <w:tc>
          <w:tcPr>
            <w:tcW w:w="43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13" w:firstLine="0"/>
              <w:jc w:val="center"/>
            </w:pPr>
            <w:r>
              <w:rPr>
                <w:rFonts w:ascii="Times New Roman" w:eastAsia="Times New Roman" w:hAnsi="Times New Roman" w:cs="Times New Roman"/>
                <w:sz w:val="13"/>
              </w:rPr>
              <w:t>a</w:t>
            </w: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NDDC (15% NDDC States Share of Federation Account)</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2" w:firstLine="0"/>
              <w:jc w:val="center"/>
            </w:pPr>
            <w:r>
              <w:rPr>
                <w:rFonts w:ascii="Times New Roman" w:eastAsia="Times New Roman" w:hAnsi="Times New Roman" w:cs="Times New Roman"/>
                <w:sz w:val="13"/>
              </w:rPr>
              <w:t xml:space="preserve">            45,947,397,566</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2" w:firstLine="0"/>
              <w:jc w:val="center"/>
            </w:pPr>
            <w:r>
              <w:rPr>
                <w:rFonts w:ascii="Times New Roman" w:eastAsia="Times New Roman" w:hAnsi="Times New Roman" w:cs="Times New Roman"/>
                <w:sz w:val="13"/>
              </w:rPr>
              <w:t xml:space="preserve">            62,981,740,926</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73,776,450,420</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81,019,648,283</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262</w:t>
            </w:r>
          </w:p>
        </w:tc>
      </w:tr>
      <w:tr w:rsidR="001C682A">
        <w:trPr>
          <w:trHeight w:val="164"/>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264</w:t>
            </w:r>
          </w:p>
        </w:tc>
        <w:tc>
          <w:tcPr>
            <w:tcW w:w="43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6" w:firstLine="0"/>
              <w:jc w:val="center"/>
            </w:pPr>
            <w:r>
              <w:rPr>
                <w:rFonts w:ascii="Times New Roman" w:eastAsia="Times New Roman" w:hAnsi="Times New Roman" w:cs="Times New Roman"/>
                <w:sz w:val="13"/>
              </w:rPr>
              <w:t>b</w:t>
            </w: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NEDC (10% of North East States' Share of FAAC)</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2" w:firstLine="0"/>
              <w:jc w:val="center"/>
            </w:pPr>
            <w:r>
              <w:rPr>
                <w:rFonts w:ascii="Times New Roman" w:eastAsia="Times New Roman" w:hAnsi="Times New Roman" w:cs="Times New Roman"/>
                <w:sz w:val="13"/>
              </w:rPr>
              <w:t xml:space="preserve">            21,761,560,225</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2" w:firstLine="0"/>
              <w:jc w:val="center"/>
            </w:pPr>
            <w:r>
              <w:rPr>
                <w:rFonts w:ascii="Times New Roman" w:eastAsia="Times New Roman" w:hAnsi="Times New Roman" w:cs="Times New Roman"/>
                <w:sz w:val="13"/>
              </w:rPr>
              <w:t xml:space="preserve">            29,459,250,140</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34,508,396,805</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37,896,349,798</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177"/>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267</w:t>
            </w:r>
          </w:p>
        </w:tc>
        <w:tc>
          <w:tcPr>
            <w:tcW w:w="43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13" w:firstLine="0"/>
              <w:jc w:val="center"/>
            </w:pPr>
            <w:r>
              <w:rPr>
                <w:rFonts w:ascii="Times New Roman" w:eastAsia="Times New Roman" w:hAnsi="Times New Roman" w:cs="Times New Roman"/>
                <w:sz w:val="13"/>
              </w:rPr>
              <w:t>c</w:t>
            </w: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National Judicial Council</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6" w:firstLine="0"/>
              <w:jc w:val="left"/>
            </w:pPr>
            <w:r>
              <w:rPr>
                <w:rFonts w:ascii="Times New Roman" w:eastAsia="Times New Roman" w:hAnsi="Times New Roman" w:cs="Times New Roman"/>
                <w:sz w:val="13"/>
              </w:rPr>
              <w:t xml:space="preserve">          110,000,000,000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6" w:firstLine="0"/>
              <w:jc w:val="left"/>
            </w:pPr>
            <w:r>
              <w:rPr>
                <w:rFonts w:ascii="Times New Roman" w:eastAsia="Times New Roman" w:hAnsi="Times New Roman" w:cs="Times New Roman"/>
                <w:sz w:val="13"/>
              </w:rPr>
              <w:t xml:space="preserve">          110,000,000,000</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110,000,000,000</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110,000,000,000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267</w:t>
            </w:r>
          </w:p>
        </w:tc>
      </w:tr>
      <w:tr w:rsidR="001C682A">
        <w:trPr>
          <w:trHeight w:val="164"/>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270</w:t>
            </w:r>
          </w:p>
        </w:tc>
        <w:tc>
          <w:tcPr>
            <w:tcW w:w="43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6" w:firstLine="0"/>
              <w:jc w:val="center"/>
            </w:pPr>
            <w:r>
              <w:rPr>
                <w:rFonts w:ascii="Times New Roman" w:eastAsia="Times New Roman" w:hAnsi="Times New Roman" w:cs="Times New Roman"/>
                <w:sz w:val="13"/>
              </w:rPr>
              <w:t>d</w:t>
            </w: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Universal Basic Education Commission (2% of CRF)</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2" w:firstLine="0"/>
              <w:jc w:val="center"/>
            </w:pPr>
            <w:r>
              <w:rPr>
                <w:rFonts w:ascii="Times New Roman" w:eastAsia="Times New Roman" w:hAnsi="Times New Roman" w:cs="Times New Roman"/>
                <w:sz w:val="13"/>
              </w:rPr>
              <w:t xml:space="preserve">            52,915,486,001</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2" w:firstLine="0"/>
              <w:jc w:val="center"/>
            </w:pPr>
            <w:r>
              <w:rPr>
                <w:rFonts w:ascii="Times New Roman" w:eastAsia="Times New Roman" w:hAnsi="Times New Roman" w:cs="Times New Roman"/>
                <w:sz w:val="13"/>
              </w:rPr>
              <w:t xml:space="preserve">            69,512,766,866</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80,920,741,071</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88,548,321,154</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270</w:t>
            </w:r>
          </w:p>
        </w:tc>
      </w:tr>
      <w:tr w:rsidR="001C682A">
        <w:trPr>
          <w:trHeight w:val="164"/>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273</w:t>
            </w:r>
          </w:p>
        </w:tc>
        <w:tc>
          <w:tcPr>
            <w:tcW w:w="43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13" w:firstLine="0"/>
              <w:jc w:val="center"/>
            </w:pPr>
            <w:r>
              <w:rPr>
                <w:rFonts w:ascii="Times New Roman" w:eastAsia="Times New Roman" w:hAnsi="Times New Roman" w:cs="Times New Roman"/>
                <w:sz w:val="13"/>
              </w:rPr>
              <w:t>e</w:t>
            </w: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Independent National Electoral Commission</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2" w:firstLine="0"/>
              <w:jc w:val="center"/>
            </w:pPr>
            <w:r>
              <w:rPr>
                <w:rFonts w:ascii="Times New Roman" w:eastAsia="Times New Roman" w:hAnsi="Times New Roman" w:cs="Times New Roman"/>
                <w:sz w:val="13"/>
              </w:rPr>
              <w:t xml:space="preserve">            36,000,000,000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2" w:firstLine="0"/>
              <w:jc w:val="center"/>
            </w:pPr>
            <w:r>
              <w:rPr>
                <w:rFonts w:ascii="Times New Roman" w:eastAsia="Times New Roman" w:hAnsi="Times New Roman" w:cs="Times New Roman"/>
                <w:sz w:val="13"/>
              </w:rPr>
              <w:t xml:space="preserve">            40,000,000,000</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40,000,000,000</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40,000,000,000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273</w:t>
            </w:r>
          </w:p>
        </w:tc>
      </w:tr>
      <w:tr w:rsidR="001C682A">
        <w:trPr>
          <w:trHeight w:val="164"/>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276</w:t>
            </w:r>
          </w:p>
        </w:tc>
        <w:tc>
          <w:tcPr>
            <w:tcW w:w="43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2" w:firstLine="0"/>
              <w:jc w:val="center"/>
            </w:pPr>
            <w:r>
              <w:rPr>
                <w:rFonts w:ascii="Times New Roman" w:eastAsia="Times New Roman" w:hAnsi="Times New Roman" w:cs="Times New Roman"/>
                <w:sz w:val="13"/>
              </w:rPr>
              <w:t>f</w:t>
            </w: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National Assembly</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6" w:firstLine="0"/>
              <w:jc w:val="left"/>
            </w:pPr>
            <w:r>
              <w:rPr>
                <w:rFonts w:ascii="Times New Roman" w:eastAsia="Times New Roman" w:hAnsi="Times New Roman" w:cs="Times New Roman"/>
                <w:sz w:val="13"/>
              </w:rPr>
              <w:t xml:space="preserve">          128,000,000,000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6" w:firstLine="0"/>
              <w:jc w:val="left"/>
            </w:pPr>
            <w:r>
              <w:rPr>
                <w:rFonts w:ascii="Times New Roman" w:eastAsia="Times New Roman" w:hAnsi="Times New Roman" w:cs="Times New Roman"/>
                <w:sz w:val="13"/>
              </w:rPr>
              <w:t xml:space="preserve">          128,000,000,000</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128,000,000,000</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128,000,000,000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276</w:t>
            </w:r>
          </w:p>
        </w:tc>
      </w:tr>
      <w:tr w:rsidR="001C682A">
        <w:trPr>
          <w:trHeight w:val="164"/>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279</w:t>
            </w:r>
          </w:p>
        </w:tc>
        <w:tc>
          <w:tcPr>
            <w:tcW w:w="43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6" w:firstLine="0"/>
              <w:jc w:val="center"/>
            </w:pPr>
            <w:r>
              <w:rPr>
                <w:rFonts w:ascii="Times New Roman" w:eastAsia="Times New Roman" w:hAnsi="Times New Roman" w:cs="Times New Roman"/>
                <w:sz w:val="13"/>
              </w:rPr>
              <w:t>g</w:t>
            </w: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Public Complaint Commission</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2" w:firstLine="0"/>
              <w:jc w:val="center"/>
            </w:pPr>
            <w:r>
              <w:rPr>
                <w:rFonts w:ascii="Times New Roman" w:eastAsia="Times New Roman" w:hAnsi="Times New Roman" w:cs="Times New Roman"/>
                <w:sz w:val="13"/>
              </w:rPr>
              <w:t xml:space="preserve">              4,700,000,000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2" w:firstLine="0"/>
              <w:jc w:val="center"/>
            </w:pPr>
            <w:r>
              <w:rPr>
                <w:rFonts w:ascii="Times New Roman" w:eastAsia="Times New Roman" w:hAnsi="Times New Roman" w:cs="Times New Roman"/>
                <w:sz w:val="13"/>
              </w:rPr>
              <w:t xml:space="preserve">              4,200,000,000</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4,200,000,000</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4,200,000,000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279</w:t>
            </w:r>
          </w:p>
        </w:tc>
      </w:tr>
      <w:tr w:rsidR="001C682A">
        <w:trPr>
          <w:trHeight w:val="164"/>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282</w:t>
            </w:r>
          </w:p>
        </w:tc>
        <w:tc>
          <w:tcPr>
            <w:tcW w:w="43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6" w:firstLine="0"/>
              <w:jc w:val="center"/>
            </w:pPr>
            <w:r>
              <w:rPr>
                <w:rFonts w:ascii="Times New Roman" w:eastAsia="Times New Roman" w:hAnsi="Times New Roman" w:cs="Times New Roman"/>
                <w:sz w:val="13"/>
              </w:rPr>
              <w:t>h</w:t>
            </w:r>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Human Rights Commission</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2" w:firstLine="0"/>
              <w:jc w:val="center"/>
            </w:pPr>
            <w:r>
              <w:rPr>
                <w:rFonts w:ascii="Times New Roman" w:eastAsia="Times New Roman" w:hAnsi="Times New Roman" w:cs="Times New Roman"/>
                <w:sz w:val="13"/>
              </w:rPr>
              <w:t xml:space="preserve">              2,250,000,000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2" w:firstLine="0"/>
              <w:jc w:val="center"/>
            </w:pPr>
            <w:r>
              <w:rPr>
                <w:rFonts w:ascii="Times New Roman" w:eastAsia="Times New Roman" w:hAnsi="Times New Roman" w:cs="Times New Roman"/>
                <w:sz w:val="13"/>
              </w:rPr>
              <w:t xml:space="preserve">              2,500,000,000</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2,500,000,000</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2,500,000,000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282</w:t>
            </w:r>
          </w:p>
        </w:tc>
      </w:tr>
      <w:tr w:rsidR="001C682A">
        <w:trPr>
          <w:trHeight w:val="177"/>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285</w:t>
            </w:r>
          </w:p>
        </w:tc>
        <w:tc>
          <w:tcPr>
            <w:tcW w:w="43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9" w:firstLine="0"/>
              <w:jc w:val="center"/>
            </w:pPr>
            <w:proofErr w:type="spellStart"/>
            <w:r>
              <w:rPr>
                <w:rFonts w:ascii="Times New Roman" w:eastAsia="Times New Roman" w:hAnsi="Times New Roman" w:cs="Times New Roman"/>
                <w:sz w:val="13"/>
              </w:rPr>
              <w:t>i</w:t>
            </w:r>
            <w:proofErr w:type="spellEnd"/>
          </w:p>
        </w:tc>
        <w:tc>
          <w:tcPr>
            <w:tcW w:w="36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Basic Health Care Fund (1% of CRF)</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2" w:firstLine="0"/>
              <w:jc w:val="center"/>
            </w:pPr>
            <w:r>
              <w:rPr>
                <w:rFonts w:ascii="Times New Roman" w:eastAsia="Times New Roman" w:hAnsi="Times New Roman" w:cs="Times New Roman"/>
                <w:sz w:val="13"/>
              </w:rPr>
              <w:t xml:space="preserve">            26,457,743,000</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2" w:firstLine="0"/>
              <w:jc w:val="center"/>
            </w:pPr>
            <w:r>
              <w:rPr>
                <w:rFonts w:ascii="Times New Roman" w:eastAsia="Times New Roman" w:hAnsi="Times New Roman" w:cs="Times New Roman"/>
                <w:sz w:val="13"/>
              </w:rPr>
              <w:t xml:space="preserve">            34,756,383,433</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40,460,370,535</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4" w:firstLine="0"/>
              <w:jc w:val="left"/>
            </w:pPr>
            <w:r>
              <w:rPr>
                <w:rFonts w:ascii="Times New Roman" w:eastAsia="Times New Roman" w:hAnsi="Times New Roman" w:cs="Times New Roman"/>
                <w:sz w:val="13"/>
              </w:rPr>
              <w:t xml:space="preserve">              44,274,160,577</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164"/>
        </w:trPr>
        <w:tc>
          <w:tcPr>
            <w:tcW w:w="315"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288</w:t>
            </w:r>
          </w:p>
        </w:tc>
        <w:tc>
          <w:tcPr>
            <w:tcW w:w="4061" w:type="dxa"/>
            <w:gridSpan w:val="2"/>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0" w:firstLine="0"/>
              <w:jc w:val="left"/>
            </w:pPr>
            <w:r>
              <w:rPr>
                <w:rFonts w:ascii="Times New Roman" w:eastAsia="Times New Roman" w:hAnsi="Times New Roman" w:cs="Times New Roman"/>
                <w:b/>
                <w:color w:val="FFFFFF"/>
                <w:sz w:val="13"/>
              </w:rPr>
              <w:t>Sub-Total (Statutory Transfers)</w:t>
            </w:r>
          </w:p>
        </w:tc>
        <w:tc>
          <w:tcPr>
            <w:tcW w:w="1230"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66" w:firstLine="0"/>
              <w:jc w:val="left"/>
            </w:pPr>
            <w:r>
              <w:rPr>
                <w:rFonts w:ascii="Times New Roman" w:eastAsia="Times New Roman" w:hAnsi="Times New Roman" w:cs="Times New Roman"/>
                <w:b/>
                <w:color w:val="FFFFFF"/>
                <w:sz w:val="13"/>
              </w:rPr>
              <w:t xml:space="preserve">          428,032,186,792</w:t>
            </w:r>
          </w:p>
        </w:tc>
        <w:tc>
          <w:tcPr>
            <w:tcW w:w="1230"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66" w:firstLine="0"/>
              <w:jc w:val="left"/>
            </w:pPr>
            <w:r>
              <w:rPr>
                <w:rFonts w:ascii="Times New Roman" w:eastAsia="Times New Roman" w:hAnsi="Times New Roman" w:cs="Times New Roman"/>
                <w:b/>
                <w:color w:val="FFFFFF"/>
                <w:sz w:val="13"/>
              </w:rPr>
              <w:t xml:space="preserve">          481,410,141,366</w:t>
            </w:r>
          </w:p>
        </w:tc>
        <w:tc>
          <w:tcPr>
            <w:tcW w:w="1278"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54" w:firstLine="0"/>
              <w:jc w:val="left"/>
            </w:pPr>
            <w:r>
              <w:rPr>
                <w:rFonts w:ascii="Times New Roman" w:eastAsia="Times New Roman" w:hAnsi="Times New Roman" w:cs="Times New Roman"/>
                <w:b/>
                <w:color w:val="FFFFFF"/>
                <w:sz w:val="13"/>
              </w:rPr>
              <w:t xml:space="preserve">            514,365,958,830</w:t>
            </w:r>
          </w:p>
        </w:tc>
        <w:tc>
          <w:tcPr>
            <w:tcW w:w="1279"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54" w:firstLine="0"/>
              <w:jc w:val="left"/>
            </w:pPr>
            <w:r>
              <w:rPr>
                <w:rFonts w:ascii="Times New Roman" w:eastAsia="Times New Roman" w:hAnsi="Times New Roman" w:cs="Times New Roman"/>
                <w:b/>
                <w:color w:val="FFFFFF"/>
                <w:sz w:val="13"/>
              </w:rPr>
              <w:t xml:space="preserve">            536,438,479,811</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288</w:t>
            </w:r>
          </w:p>
        </w:tc>
      </w:tr>
      <w:tr w:rsidR="001C682A">
        <w:trPr>
          <w:trHeight w:val="164"/>
        </w:trPr>
        <w:tc>
          <w:tcPr>
            <w:tcW w:w="315"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289</w:t>
            </w:r>
          </w:p>
        </w:tc>
        <w:tc>
          <w:tcPr>
            <w:tcW w:w="432" w:type="dxa"/>
            <w:tcBorders>
              <w:top w:val="single" w:sz="3" w:space="0" w:color="000000"/>
              <w:left w:val="single" w:sz="2" w:space="0" w:color="000000"/>
              <w:bottom w:val="single" w:sz="3" w:space="0" w:color="000000"/>
              <w:right w:val="single" w:sz="2" w:space="0" w:color="D4D4D4"/>
            </w:tcBorders>
          </w:tcPr>
          <w:p w:rsidR="001C682A" w:rsidRDefault="001C682A">
            <w:pPr>
              <w:spacing w:after="160" w:line="259" w:lineRule="auto"/>
              <w:ind w:left="0" w:firstLine="0"/>
              <w:jc w:val="left"/>
            </w:pPr>
          </w:p>
        </w:tc>
        <w:tc>
          <w:tcPr>
            <w:tcW w:w="3630" w:type="dxa"/>
            <w:tcBorders>
              <w:top w:val="single" w:sz="3" w:space="0" w:color="000000"/>
              <w:left w:val="single" w:sz="2" w:space="0" w:color="D4D4D4"/>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of which: Capital Expenditure in Statutory Transfers (%)</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b/>
                <w:sz w:val="13"/>
              </w:rPr>
              <w:t>45.97%</w:t>
            </w:r>
          </w:p>
        </w:tc>
        <w:tc>
          <w:tcPr>
            <w:tcW w:w="1230"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b/>
                <w:sz w:val="13"/>
              </w:rPr>
              <w:t>50.91%</w:t>
            </w:r>
          </w:p>
        </w:tc>
        <w:tc>
          <w:tcPr>
            <w:tcW w:w="127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b/>
                <w:sz w:val="13"/>
              </w:rPr>
              <w:t>53.78%</w:t>
            </w:r>
          </w:p>
        </w:tc>
        <w:tc>
          <w:tcPr>
            <w:tcW w:w="1279"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1" w:firstLine="0"/>
              <w:jc w:val="right"/>
            </w:pPr>
            <w:r>
              <w:rPr>
                <w:rFonts w:ascii="Times New Roman" w:eastAsia="Times New Roman" w:hAnsi="Times New Roman" w:cs="Times New Roman"/>
                <w:b/>
                <w:sz w:val="13"/>
              </w:rPr>
              <w:t>55.50%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289</w:t>
            </w:r>
          </w:p>
        </w:tc>
      </w:tr>
      <w:tr w:rsidR="001C682A">
        <w:trPr>
          <w:trHeight w:val="163"/>
        </w:trPr>
        <w:tc>
          <w:tcPr>
            <w:tcW w:w="315" w:type="dxa"/>
            <w:tcBorders>
              <w:top w:val="single" w:sz="3" w:space="0" w:color="000000"/>
              <w:left w:val="single" w:sz="2" w:space="0" w:color="0000D0"/>
              <w:bottom w:val="single" w:sz="5" w:space="0" w:color="0000D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290</w:t>
            </w:r>
          </w:p>
        </w:tc>
        <w:tc>
          <w:tcPr>
            <w:tcW w:w="432" w:type="dxa"/>
            <w:tcBorders>
              <w:top w:val="single" w:sz="3" w:space="0" w:color="000000"/>
              <w:left w:val="single" w:sz="2" w:space="0" w:color="000000"/>
              <w:bottom w:val="single" w:sz="5" w:space="0" w:color="0000D0"/>
              <w:right w:val="single" w:sz="2" w:space="0" w:color="D4D4D4"/>
            </w:tcBorders>
          </w:tcPr>
          <w:p w:rsidR="001C682A" w:rsidRDefault="001C682A">
            <w:pPr>
              <w:spacing w:after="160" w:line="259" w:lineRule="auto"/>
              <w:ind w:left="0" w:firstLine="0"/>
              <w:jc w:val="left"/>
            </w:pPr>
          </w:p>
        </w:tc>
        <w:tc>
          <w:tcPr>
            <w:tcW w:w="3630" w:type="dxa"/>
            <w:tcBorders>
              <w:top w:val="single" w:sz="3" w:space="0" w:color="000000"/>
              <w:left w:val="single" w:sz="2" w:space="0" w:color="D4D4D4"/>
              <w:bottom w:val="single" w:sz="5" w:space="0" w:color="0000D0"/>
              <w:right w:val="single" w:sz="2" w:space="0" w:color="000000"/>
            </w:tcBorders>
          </w:tcPr>
          <w:p w:rsidR="001C682A" w:rsidRDefault="001C682A">
            <w:pPr>
              <w:spacing w:after="160" w:line="259" w:lineRule="auto"/>
              <w:ind w:left="0" w:firstLine="0"/>
              <w:jc w:val="left"/>
            </w:pPr>
          </w:p>
        </w:tc>
        <w:tc>
          <w:tcPr>
            <w:tcW w:w="1230" w:type="dxa"/>
            <w:tcBorders>
              <w:top w:val="single" w:sz="3" w:space="0" w:color="000000"/>
              <w:left w:val="single" w:sz="2" w:space="0" w:color="000000"/>
              <w:bottom w:val="single" w:sz="5" w:space="0" w:color="0000D0"/>
              <w:right w:val="single" w:sz="2" w:space="0" w:color="000000"/>
            </w:tcBorders>
          </w:tcPr>
          <w:p w:rsidR="001C682A" w:rsidRDefault="001C682A">
            <w:pPr>
              <w:spacing w:after="160" w:line="259" w:lineRule="auto"/>
              <w:ind w:left="0" w:firstLine="0"/>
              <w:jc w:val="left"/>
            </w:pPr>
          </w:p>
        </w:tc>
        <w:tc>
          <w:tcPr>
            <w:tcW w:w="1230" w:type="dxa"/>
            <w:tcBorders>
              <w:top w:val="single" w:sz="3" w:space="0" w:color="000000"/>
              <w:left w:val="single" w:sz="2" w:space="0" w:color="000000"/>
              <w:bottom w:val="single" w:sz="5" w:space="0" w:color="0000D0"/>
              <w:right w:val="single" w:sz="2" w:space="0" w:color="000000"/>
            </w:tcBorders>
          </w:tcPr>
          <w:p w:rsidR="001C682A" w:rsidRDefault="001C682A">
            <w:pPr>
              <w:spacing w:after="160" w:line="259" w:lineRule="auto"/>
              <w:ind w:left="0" w:firstLine="0"/>
              <w:jc w:val="left"/>
            </w:pPr>
          </w:p>
        </w:tc>
        <w:tc>
          <w:tcPr>
            <w:tcW w:w="1278" w:type="dxa"/>
            <w:tcBorders>
              <w:top w:val="single" w:sz="3" w:space="0" w:color="000000"/>
              <w:left w:val="single" w:sz="2" w:space="0" w:color="000000"/>
              <w:bottom w:val="single" w:sz="5" w:space="0" w:color="0000D0"/>
              <w:right w:val="single" w:sz="2" w:space="0" w:color="000000"/>
            </w:tcBorders>
          </w:tcPr>
          <w:p w:rsidR="001C682A" w:rsidRDefault="001C682A">
            <w:pPr>
              <w:spacing w:after="160" w:line="259" w:lineRule="auto"/>
              <w:ind w:left="0" w:firstLine="0"/>
              <w:jc w:val="left"/>
            </w:pPr>
          </w:p>
        </w:tc>
        <w:tc>
          <w:tcPr>
            <w:tcW w:w="1279" w:type="dxa"/>
            <w:tcBorders>
              <w:top w:val="single" w:sz="3" w:space="0" w:color="000000"/>
              <w:left w:val="single" w:sz="2" w:space="0" w:color="000000"/>
              <w:bottom w:val="single" w:sz="5" w:space="0" w:color="0000D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5" w:space="0" w:color="0000D0"/>
              <w:right w:val="single" w:sz="2" w:space="0" w:color="000000"/>
            </w:tcBorders>
          </w:tcPr>
          <w:p w:rsidR="001C682A" w:rsidRDefault="001C682A">
            <w:pPr>
              <w:spacing w:after="160" w:line="259" w:lineRule="auto"/>
              <w:ind w:left="0" w:firstLine="0"/>
              <w:jc w:val="left"/>
            </w:pPr>
          </w:p>
        </w:tc>
        <w:tc>
          <w:tcPr>
            <w:tcW w:w="310" w:type="dxa"/>
            <w:tcBorders>
              <w:top w:val="single" w:sz="3" w:space="0" w:color="000000"/>
              <w:left w:val="single" w:sz="2" w:space="0" w:color="000000"/>
              <w:bottom w:val="single" w:sz="5" w:space="0" w:color="0000D0"/>
              <w:right w:val="single" w:sz="5" w:space="0" w:color="0000D0"/>
            </w:tcBorders>
          </w:tcPr>
          <w:p w:rsidR="001C682A" w:rsidRDefault="00B03C38">
            <w:pPr>
              <w:spacing w:after="0" w:line="259" w:lineRule="auto"/>
              <w:ind w:left="48" w:firstLine="0"/>
              <w:jc w:val="left"/>
            </w:pPr>
            <w:r>
              <w:rPr>
                <w:rFonts w:ascii="Times New Roman" w:eastAsia="Times New Roman" w:hAnsi="Times New Roman" w:cs="Times New Roman"/>
                <w:sz w:val="13"/>
              </w:rPr>
              <w:t>290</w:t>
            </w:r>
          </w:p>
        </w:tc>
      </w:tr>
    </w:tbl>
    <w:p w:rsidR="001C682A" w:rsidRDefault="001C682A">
      <w:pPr>
        <w:spacing w:after="0" w:line="259" w:lineRule="auto"/>
        <w:ind w:left="-1222" w:right="174" w:firstLine="0"/>
      </w:pPr>
    </w:p>
    <w:tbl>
      <w:tblPr>
        <w:tblStyle w:val="TableGrid"/>
        <w:tblW w:w="9674" w:type="dxa"/>
        <w:tblInd w:w="224" w:type="dxa"/>
        <w:tblCellMar>
          <w:top w:w="15" w:type="dxa"/>
          <w:left w:w="21" w:type="dxa"/>
          <w:right w:w="21" w:type="dxa"/>
        </w:tblCellMar>
        <w:tblLook w:val="04A0" w:firstRow="1" w:lastRow="0" w:firstColumn="1" w:lastColumn="0" w:noHBand="0" w:noVBand="1"/>
      </w:tblPr>
      <w:tblGrid>
        <w:gridCol w:w="477"/>
        <w:gridCol w:w="374"/>
        <w:gridCol w:w="3176"/>
        <w:gridCol w:w="1230"/>
        <w:gridCol w:w="1230"/>
        <w:gridCol w:w="1320"/>
        <w:gridCol w:w="1320"/>
        <w:gridCol w:w="67"/>
        <w:gridCol w:w="480"/>
      </w:tblGrid>
      <w:tr w:rsidR="001C682A">
        <w:trPr>
          <w:trHeight w:val="177"/>
        </w:trPr>
        <w:tc>
          <w:tcPr>
            <w:tcW w:w="312" w:type="dxa"/>
            <w:tcBorders>
              <w:top w:val="single" w:sz="3" w:space="0" w:color="0000D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291</w:t>
            </w:r>
          </w:p>
        </w:tc>
        <w:tc>
          <w:tcPr>
            <w:tcW w:w="4020" w:type="dxa"/>
            <w:gridSpan w:val="2"/>
            <w:tcBorders>
              <w:top w:val="single" w:sz="3" w:space="0" w:color="0000D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DEBT SERVICE</w:t>
            </w:r>
          </w:p>
        </w:tc>
        <w:tc>
          <w:tcPr>
            <w:tcW w:w="1217" w:type="dxa"/>
            <w:tcBorders>
              <w:top w:val="single" w:sz="3" w:space="0" w:color="0000D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b/>
                <w:sz w:val="13"/>
              </w:rPr>
              <w:t xml:space="preserve">       2,678,810,000,000</w:t>
            </w:r>
          </w:p>
        </w:tc>
        <w:tc>
          <w:tcPr>
            <w:tcW w:w="1217" w:type="dxa"/>
            <w:tcBorders>
              <w:top w:val="single" w:sz="3" w:space="0" w:color="0000D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b/>
                <w:sz w:val="13"/>
              </w:rPr>
              <w:t xml:space="preserve">       3,124,380,000,000</w:t>
            </w:r>
          </w:p>
        </w:tc>
        <w:tc>
          <w:tcPr>
            <w:tcW w:w="1265" w:type="dxa"/>
            <w:tcBorders>
              <w:top w:val="single" w:sz="3" w:space="0" w:color="0000D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3,496,510,000,000</w:t>
            </w:r>
          </w:p>
        </w:tc>
        <w:tc>
          <w:tcPr>
            <w:tcW w:w="1265" w:type="dxa"/>
            <w:tcBorders>
              <w:top w:val="single" w:sz="3" w:space="0" w:color="0000D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3,496,510,000,000</w:t>
            </w:r>
          </w:p>
        </w:tc>
        <w:tc>
          <w:tcPr>
            <w:tcW w:w="71" w:type="dxa"/>
            <w:tcBorders>
              <w:top w:val="single" w:sz="3" w:space="0" w:color="0000D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D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291</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292</w:t>
            </w:r>
          </w:p>
        </w:tc>
        <w:tc>
          <w:tcPr>
            <w:tcW w:w="42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center"/>
            </w:pPr>
            <w:r>
              <w:rPr>
                <w:rFonts w:ascii="Times New Roman" w:eastAsia="Times New Roman" w:hAnsi="Times New Roman" w:cs="Times New Roman"/>
                <w:sz w:val="13"/>
              </w:rPr>
              <w:t>a</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Service on Domestic Debt</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1,873,340,000,000</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2,183,490,000,000</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2,379,490,000,000</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2,379,490,000,000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292</w:t>
            </w:r>
          </w:p>
        </w:tc>
      </w:tr>
      <w:tr w:rsidR="001C682A">
        <w:trPr>
          <w:trHeight w:val="173"/>
        </w:trPr>
        <w:tc>
          <w:tcPr>
            <w:tcW w:w="312"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293</w:t>
            </w:r>
          </w:p>
        </w:tc>
        <w:tc>
          <w:tcPr>
            <w:tcW w:w="42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 w:firstLine="0"/>
              <w:jc w:val="center"/>
            </w:pPr>
            <w:r>
              <w:rPr>
                <w:rFonts w:ascii="Times New Roman" w:eastAsia="Times New Roman" w:hAnsi="Times New Roman" w:cs="Times New Roman"/>
                <w:sz w:val="13"/>
              </w:rPr>
              <w:t>b</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Service on Foreign Debt</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805,470,000,000</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940,890,000,000</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1,117,020,000,000</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1,117,020,000,000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293</w:t>
            </w:r>
          </w:p>
        </w:tc>
      </w:tr>
      <w:tr w:rsidR="001C682A">
        <w:trPr>
          <w:trHeight w:val="235"/>
        </w:trPr>
        <w:tc>
          <w:tcPr>
            <w:tcW w:w="312"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295</w:t>
            </w:r>
          </w:p>
        </w:tc>
        <w:tc>
          <w:tcPr>
            <w:tcW w:w="4020" w:type="dxa"/>
            <w:gridSpan w:val="2"/>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0" w:firstLine="0"/>
              <w:jc w:val="left"/>
            </w:pPr>
            <w:r>
              <w:rPr>
                <w:rFonts w:ascii="Times New Roman" w:eastAsia="Times New Roman" w:hAnsi="Times New Roman" w:cs="Times New Roman"/>
                <w:b/>
                <w:color w:val="FFFFFF"/>
                <w:sz w:val="13"/>
              </w:rPr>
              <w:t>Sub-Total</w:t>
            </w:r>
          </w:p>
        </w:tc>
        <w:tc>
          <w:tcPr>
            <w:tcW w:w="1217"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65" w:firstLine="0"/>
              <w:jc w:val="left"/>
            </w:pPr>
            <w:r>
              <w:rPr>
                <w:rFonts w:ascii="Times New Roman" w:eastAsia="Times New Roman" w:hAnsi="Times New Roman" w:cs="Times New Roman"/>
                <w:b/>
                <w:color w:val="FFFFFF"/>
                <w:sz w:val="13"/>
              </w:rPr>
              <w:t xml:space="preserve">       2,678,810,000,000</w:t>
            </w:r>
          </w:p>
        </w:tc>
        <w:tc>
          <w:tcPr>
            <w:tcW w:w="1217"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65" w:firstLine="0"/>
              <w:jc w:val="left"/>
            </w:pPr>
            <w:r>
              <w:rPr>
                <w:rFonts w:ascii="Times New Roman" w:eastAsia="Times New Roman" w:hAnsi="Times New Roman" w:cs="Times New Roman"/>
                <w:b/>
                <w:color w:val="FFFFFF"/>
                <w:sz w:val="13"/>
              </w:rPr>
              <w:t xml:space="preserve">       3,124,380,000,000</w:t>
            </w:r>
          </w:p>
        </w:tc>
        <w:tc>
          <w:tcPr>
            <w:tcW w:w="1265"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53" w:firstLine="0"/>
              <w:jc w:val="left"/>
            </w:pPr>
            <w:r>
              <w:rPr>
                <w:rFonts w:ascii="Times New Roman" w:eastAsia="Times New Roman" w:hAnsi="Times New Roman" w:cs="Times New Roman"/>
                <w:b/>
                <w:color w:val="FFFFFF"/>
                <w:sz w:val="13"/>
              </w:rPr>
              <w:t xml:space="preserve">         3,496,510,000,000</w:t>
            </w:r>
          </w:p>
        </w:tc>
        <w:tc>
          <w:tcPr>
            <w:tcW w:w="1265"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53" w:firstLine="0"/>
              <w:jc w:val="left"/>
            </w:pPr>
            <w:r>
              <w:rPr>
                <w:rFonts w:ascii="Times New Roman" w:eastAsia="Times New Roman" w:hAnsi="Times New Roman" w:cs="Times New Roman"/>
                <w:b/>
                <w:color w:val="FFFFFF"/>
                <w:sz w:val="13"/>
              </w:rPr>
              <w:t xml:space="preserve">         3,496,510,000,000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295</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296</w:t>
            </w:r>
          </w:p>
        </w:tc>
        <w:tc>
          <w:tcPr>
            <w:tcW w:w="4020"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1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1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296</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297</w:t>
            </w:r>
          </w:p>
        </w:tc>
        <w:tc>
          <w:tcPr>
            <w:tcW w:w="4020"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SINKING FUND</w:t>
            </w:r>
          </w:p>
        </w:tc>
        <w:tc>
          <w:tcPr>
            <w:tcW w:w="121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1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297</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298</w:t>
            </w:r>
          </w:p>
        </w:tc>
        <w:tc>
          <w:tcPr>
            <w:tcW w:w="42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center"/>
            </w:pPr>
            <w:r>
              <w:rPr>
                <w:rFonts w:ascii="Times New Roman" w:eastAsia="Times New Roman" w:hAnsi="Times New Roman" w:cs="Times New Roman"/>
                <w:sz w:val="13"/>
              </w:rPr>
              <w:t>a</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Sinking Fund to retire maturing bond to Local Contractors</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272,900,000,000</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220,000,000,000</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286,670,000,000</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286,670,000,000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298</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299</w:t>
            </w:r>
          </w:p>
        </w:tc>
        <w:tc>
          <w:tcPr>
            <w:tcW w:w="4020" w:type="dxa"/>
            <w:gridSpan w:val="2"/>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0" w:firstLine="0"/>
              <w:jc w:val="left"/>
            </w:pPr>
            <w:r>
              <w:rPr>
                <w:rFonts w:ascii="Times New Roman" w:eastAsia="Times New Roman" w:hAnsi="Times New Roman" w:cs="Times New Roman"/>
                <w:b/>
                <w:color w:val="FFFFFF"/>
                <w:sz w:val="13"/>
              </w:rPr>
              <w:t>Sub-Total</w:t>
            </w:r>
          </w:p>
        </w:tc>
        <w:tc>
          <w:tcPr>
            <w:tcW w:w="1217"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65" w:firstLine="0"/>
              <w:jc w:val="left"/>
            </w:pPr>
            <w:r>
              <w:rPr>
                <w:rFonts w:ascii="Times New Roman" w:eastAsia="Times New Roman" w:hAnsi="Times New Roman" w:cs="Times New Roman"/>
                <w:b/>
                <w:color w:val="FFFFFF"/>
                <w:sz w:val="13"/>
              </w:rPr>
              <w:t xml:space="preserve">          272,900,000,000</w:t>
            </w:r>
          </w:p>
        </w:tc>
        <w:tc>
          <w:tcPr>
            <w:tcW w:w="1217"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65" w:firstLine="0"/>
              <w:jc w:val="left"/>
            </w:pPr>
            <w:r>
              <w:rPr>
                <w:rFonts w:ascii="Times New Roman" w:eastAsia="Times New Roman" w:hAnsi="Times New Roman" w:cs="Times New Roman"/>
                <w:b/>
                <w:color w:val="FFFFFF"/>
                <w:sz w:val="13"/>
              </w:rPr>
              <w:t xml:space="preserve">          220,000,000,000</w:t>
            </w:r>
          </w:p>
        </w:tc>
        <w:tc>
          <w:tcPr>
            <w:tcW w:w="1265"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53" w:firstLine="0"/>
              <w:jc w:val="left"/>
            </w:pPr>
            <w:r>
              <w:rPr>
                <w:rFonts w:ascii="Times New Roman" w:eastAsia="Times New Roman" w:hAnsi="Times New Roman" w:cs="Times New Roman"/>
                <w:b/>
                <w:color w:val="FFFFFF"/>
                <w:sz w:val="13"/>
              </w:rPr>
              <w:t xml:space="preserve">            286,670,000,000</w:t>
            </w:r>
          </w:p>
        </w:tc>
        <w:tc>
          <w:tcPr>
            <w:tcW w:w="1265"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53" w:firstLine="0"/>
              <w:jc w:val="left"/>
            </w:pPr>
            <w:r>
              <w:rPr>
                <w:rFonts w:ascii="Times New Roman" w:eastAsia="Times New Roman" w:hAnsi="Times New Roman" w:cs="Times New Roman"/>
                <w:b/>
                <w:color w:val="FFFFFF"/>
                <w:sz w:val="13"/>
              </w:rPr>
              <w:t xml:space="preserve">            286,670,000,000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299</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300</w:t>
            </w:r>
          </w:p>
        </w:tc>
        <w:tc>
          <w:tcPr>
            <w:tcW w:w="4020"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RECURRENT (NON-DEBT)</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b/>
                <w:sz w:val="13"/>
              </w:rPr>
              <w:t xml:space="preserve">       4,942,269,251,935</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b/>
                <w:sz w:val="13"/>
              </w:rPr>
              <w:t xml:space="preserve">       5,746,271,340,557</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b/>
                <w:sz w:val="13"/>
              </w:rPr>
              <w:t xml:space="preserve">         5,925,973,889,898</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b/>
                <w:sz w:val="13"/>
              </w:rPr>
              <w:t xml:space="preserve">         6,106,155,964,810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300</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301</w:t>
            </w:r>
          </w:p>
        </w:tc>
        <w:tc>
          <w:tcPr>
            <w:tcW w:w="42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center"/>
            </w:pPr>
            <w:r>
              <w:rPr>
                <w:rFonts w:ascii="Times New Roman" w:eastAsia="Times New Roman" w:hAnsi="Times New Roman" w:cs="Times New Roman"/>
                <w:sz w:val="13"/>
              </w:rPr>
              <w:t>a</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Personnel Costs (MDAs)</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2,827,648,399,908</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3,053,860,271,901</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3,145,476,080,058</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3,239,840,362,459</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301</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302</w:t>
            </w:r>
          </w:p>
        </w:tc>
        <w:tc>
          <w:tcPr>
            <w:tcW w:w="42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 w:firstLine="0"/>
              <w:jc w:val="center"/>
            </w:pPr>
            <w:r>
              <w:rPr>
                <w:rFonts w:ascii="Times New Roman" w:eastAsia="Times New Roman" w:hAnsi="Times New Roman" w:cs="Times New Roman"/>
                <w:sz w:val="13"/>
              </w:rPr>
              <w:t>b</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Personnel Costs (GOEs)</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218,805,923,102</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701,162,016,535</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745,547,741,391</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784,918,705,581</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167"/>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303</w:t>
            </w:r>
          </w:p>
        </w:tc>
        <w:tc>
          <w:tcPr>
            <w:tcW w:w="42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center"/>
            </w:pPr>
            <w:r>
              <w:rPr>
                <w:rFonts w:ascii="Times New Roman" w:eastAsia="Times New Roman" w:hAnsi="Times New Roman" w:cs="Times New Roman"/>
                <w:sz w:val="13"/>
              </w:rPr>
              <w:t>c</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Overheads (MDAs)</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243,178,783,662</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302,426,076,635</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302,426,076,635</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302,426,076,635</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303</w:t>
            </w:r>
          </w:p>
        </w:tc>
      </w:tr>
      <w:tr w:rsidR="001C682A">
        <w:trPr>
          <w:trHeight w:val="167"/>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304</w:t>
            </w:r>
          </w:p>
        </w:tc>
        <w:tc>
          <w:tcPr>
            <w:tcW w:w="42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 w:firstLine="0"/>
              <w:jc w:val="center"/>
            </w:pPr>
            <w:r>
              <w:rPr>
                <w:rFonts w:ascii="Times New Roman" w:eastAsia="Times New Roman" w:hAnsi="Times New Roman" w:cs="Times New Roman"/>
                <w:sz w:val="13"/>
              </w:rPr>
              <w:t>d</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Overheads (GOEs)</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4" w:firstLine="0"/>
              <w:jc w:val="center"/>
            </w:pPr>
            <w:r>
              <w:rPr>
                <w:rFonts w:ascii="Times New Roman" w:eastAsia="Times New Roman" w:hAnsi="Times New Roman" w:cs="Times New Roman"/>
                <w:sz w:val="13"/>
              </w:rPr>
              <w:t xml:space="preserve">            89,606,753,712</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312,081,710,125</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332,949,169,853</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354,254,491,131</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lastRenderedPageBreak/>
              <w:t>306</w:t>
            </w:r>
          </w:p>
        </w:tc>
        <w:tc>
          <w:tcPr>
            <w:tcW w:w="42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center"/>
            </w:pPr>
            <w:r>
              <w:rPr>
                <w:rFonts w:ascii="Times New Roman" w:eastAsia="Times New Roman" w:hAnsi="Times New Roman" w:cs="Times New Roman"/>
                <w:sz w:val="13"/>
              </w:rPr>
              <w:t>e</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Pensions, Gratuities &amp; Retirees Benefits</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536,717,450,127</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552,818,973,631</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569,403,542,840</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586,485,649,125</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306</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308</w:t>
            </w:r>
          </w:p>
        </w:tc>
        <w:tc>
          <w:tcPr>
            <w:tcW w:w="42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firstLine="0"/>
              <w:jc w:val="center"/>
            </w:pPr>
            <w:r>
              <w:rPr>
                <w:rFonts w:ascii="Times New Roman" w:eastAsia="Times New Roman" w:hAnsi="Times New Roman" w:cs="Times New Roman"/>
                <w:sz w:val="13"/>
              </w:rPr>
              <w:t>f</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Other Service Wide Votes (including GAVI/Immunization)</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397,334,060,757</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408,922,291,731</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415,171,279,123</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423,230,679,878</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308</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309</w:t>
            </w:r>
          </w:p>
        </w:tc>
        <w:tc>
          <w:tcPr>
            <w:tcW w:w="42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 w:firstLine="0"/>
              <w:jc w:val="center"/>
            </w:pPr>
            <w:r>
              <w:rPr>
                <w:rFonts w:ascii="Times New Roman" w:eastAsia="Times New Roman" w:hAnsi="Times New Roman" w:cs="Times New Roman"/>
                <w:sz w:val="13"/>
              </w:rPr>
              <w:t>g</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 xml:space="preserve">Other Service Wide Votes (COVID-19 Crisis Intervention Fund- </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213,977,880,667</w:t>
            </w:r>
          </w:p>
        </w:tc>
        <w:tc>
          <w:tcPr>
            <w:tcW w:w="121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309</w:t>
            </w:r>
          </w:p>
        </w:tc>
      </w:tr>
      <w:tr w:rsidR="001C682A">
        <w:trPr>
          <w:trHeight w:val="180"/>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310</w:t>
            </w:r>
          </w:p>
        </w:tc>
        <w:tc>
          <w:tcPr>
            <w:tcW w:w="42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 w:firstLine="0"/>
              <w:jc w:val="center"/>
            </w:pPr>
            <w:r>
              <w:rPr>
                <w:rFonts w:ascii="Times New Roman" w:eastAsia="Times New Roman" w:hAnsi="Times New Roman" w:cs="Times New Roman"/>
                <w:sz w:val="13"/>
              </w:rPr>
              <w:t>h</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Presidential Amnesty Programme</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4" w:firstLine="0"/>
              <w:jc w:val="center"/>
            </w:pPr>
            <w:r>
              <w:rPr>
                <w:rFonts w:ascii="Times New Roman" w:eastAsia="Times New Roman" w:hAnsi="Times New Roman" w:cs="Times New Roman"/>
                <w:sz w:val="13"/>
              </w:rPr>
              <w:t xml:space="preserve">            65,000,000,000</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4" w:firstLine="0"/>
              <w:jc w:val="center"/>
            </w:pPr>
            <w:r>
              <w:rPr>
                <w:rFonts w:ascii="Times New Roman" w:eastAsia="Times New Roman" w:hAnsi="Times New Roman" w:cs="Times New Roman"/>
                <w:sz w:val="13"/>
              </w:rPr>
              <w:t xml:space="preserve">            65,000,000,000</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65,000,000,000</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65,000,000,000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310</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315</w:t>
            </w:r>
          </w:p>
        </w:tc>
        <w:tc>
          <w:tcPr>
            <w:tcW w:w="4020" w:type="dxa"/>
            <w:gridSpan w:val="2"/>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0" w:firstLine="0"/>
              <w:jc w:val="left"/>
            </w:pPr>
            <w:r>
              <w:rPr>
                <w:rFonts w:ascii="Times New Roman" w:eastAsia="Times New Roman" w:hAnsi="Times New Roman" w:cs="Times New Roman"/>
                <w:b/>
                <w:color w:val="FFFFFF"/>
                <w:sz w:val="13"/>
              </w:rPr>
              <w:t>Sub-Total</w:t>
            </w:r>
          </w:p>
        </w:tc>
        <w:tc>
          <w:tcPr>
            <w:tcW w:w="1217"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65" w:firstLine="0"/>
              <w:jc w:val="left"/>
            </w:pPr>
            <w:r>
              <w:rPr>
                <w:rFonts w:ascii="Times New Roman" w:eastAsia="Times New Roman" w:hAnsi="Times New Roman" w:cs="Times New Roman"/>
                <w:b/>
                <w:color w:val="FFFFFF"/>
                <w:sz w:val="13"/>
              </w:rPr>
              <w:t xml:space="preserve">       4,592,269,251,935</w:t>
            </w:r>
          </w:p>
        </w:tc>
        <w:tc>
          <w:tcPr>
            <w:tcW w:w="1217"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65" w:firstLine="0"/>
              <w:jc w:val="left"/>
            </w:pPr>
            <w:r>
              <w:rPr>
                <w:rFonts w:ascii="Times New Roman" w:eastAsia="Times New Roman" w:hAnsi="Times New Roman" w:cs="Times New Roman"/>
                <w:b/>
                <w:color w:val="FFFFFF"/>
                <w:sz w:val="13"/>
              </w:rPr>
              <w:t xml:space="preserve">       5,396,271,340,557</w:t>
            </w:r>
          </w:p>
        </w:tc>
        <w:tc>
          <w:tcPr>
            <w:tcW w:w="1265"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53" w:firstLine="0"/>
              <w:jc w:val="left"/>
            </w:pPr>
            <w:r>
              <w:rPr>
                <w:rFonts w:ascii="Times New Roman" w:eastAsia="Times New Roman" w:hAnsi="Times New Roman" w:cs="Times New Roman"/>
                <w:b/>
                <w:color w:val="FFFFFF"/>
                <w:sz w:val="13"/>
              </w:rPr>
              <w:t xml:space="preserve">         5,575,973,889,898</w:t>
            </w:r>
          </w:p>
        </w:tc>
        <w:tc>
          <w:tcPr>
            <w:tcW w:w="1265"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53" w:firstLine="0"/>
              <w:jc w:val="left"/>
            </w:pPr>
            <w:r>
              <w:rPr>
                <w:rFonts w:ascii="Times New Roman" w:eastAsia="Times New Roman" w:hAnsi="Times New Roman" w:cs="Times New Roman"/>
                <w:b/>
                <w:color w:val="FFFFFF"/>
                <w:sz w:val="13"/>
              </w:rPr>
              <w:t xml:space="preserve">         5,756,155,964,810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315</w:t>
            </w:r>
          </w:p>
        </w:tc>
      </w:tr>
      <w:tr w:rsidR="001C682A">
        <w:trPr>
          <w:trHeight w:val="175"/>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316</w:t>
            </w:r>
          </w:p>
        </w:tc>
        <w:tc>
          <w:tcPr>
            <w:tcW w:w="4020"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1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1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316</w:t>
            </w:r>
          </w:p>
        </w:tc>
      </w:tr>
      <w:tr w:rsidR="001C682A">
        <w:trPr>
          <w:trHeight w:val="172"/>
        </w:trPr>
        <w:tc>
          <w:tcPr>
            <w:tcW w:w="312"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317</w:t>
            </w:r>
          </w:p>
        </w:tc>
        <w:tc>
          <w:tcPr>
            <w:tcW w:w="4020"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SPECIAL INTERVENTIONS (Recurrent)</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b/>
                <w:sz w:val="13"/>
              </w:rPr>
              <w:t xml:space="preserve">          350,000,000,000</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b/>
                <w:sz w:val="13"/>
              </w:rPr>
              <w:t xml:space="preserve">          350,000,000,000</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350,000,000,000</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b/>
                <w:sz w:val="13"/>
              </w:rPr>
              <w:t xml:space="preserve">            350,000,000,000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317</w:t>
            </w:r>
          </w:p>
        </w:tc>
      </w:tr>
      <w:tr w:rsidR="001C682A">
        <w:trPr>
          <w:trHeight w:val="175"/>
        </w:trPr>
        <w:tc>
          <w:tcPr>
            <w:tcW w:w="312"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318</w:t>
            </w:r>
          </w:p>
        </w:tc>
        <w:tc>
          <w:tcPr>
            <w:tcW w:w="4020" w:type="dxa"/>
            <w:gridSpan w:val="2"/>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0" w:firstLine="0"/>
              <w:jc w:val="left"/>
            </w:pPr>
            <w:r>
              <w:rPr>
                <w:rFonts w:ascii="Times New Roman" w:eastAsia="Times New Roman" w:hAnsi="Times New Roman" w:cs="Times New Roman"/>
                <w:b/>
                <w:color w:val="FFFFFF"/>
                <w:sz w:val="13"/>
              </w:rPr>
              <w:t>Sub-Total</w:t>
            </w:r>
          </w:p>
        </w:tc>
        <w:tc>
          <w:tcPr>
            <w:tcW w:w="1217"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65" w:firstLine="0"/>
              <w:jc w:val="left"/>
            </w:pPr>
            <w:r>
              <w:rPr>
                <w:rFonts w:ascii="Times New Roman" w:eastAsia="Times New Roman" w:hAnsi="Times New Roman" w:cs="Times New Roman"/>
                <w:b/>
                <w:color w:val="FFFFFF"/>
                <w:sz w:val="13"/>
              </w:rPr>
              <w:t xml:space="preserve">          350,000,000,000</w:t>
            </w:r>
          </w:p>
        </w:tc>
        <w:tc>
          <w:tcPr>
            <w:tcW w:w="1217"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65" w:firstLine="0"/>
              <w:jc w:val="left"/>
            </w:pPr>
            <w:r>
              <w:rPr>
                <w:rFonts w:ascii="Times New Roman" w:eastAsia="Times New Roman" w:hAnsi="Times New Roman" w:cs="Times New Roman"/>
                <w:b/>
                <w:color w:val="FFFFFF"/>
                <w:sz w:val="13"/>
              </w:rPr>
              <w:t xml:space="preserve">          350,000,000,000</w:t>
            </w:r>
          </w:p>
        </w:tc>
        <w:tc>
          <w:tcPr>
            <w:tcW w:w="1265"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53" w:firstLine="0"/>
              <w:jc w:val="left"/>
            </w:pPr>
            <w:r>
              <w:rPr>
                <w:rFonts w:ascii="Times New Roman" w:eastAsia="Times New Roman" w:hAnsi="Times New Roman" w:cs="Times New Roman"/>
                <w:b/>
                <w:color w:val="FFFFFF"/>
                <w:sz w:val="13"/>
              </w:rPr>
              <w:t xml:space="preserve">            350,000,000,000</w:t>
            </w:r>
          </w:p>
        </w:tc>
        <w:tc>
          <w:tcPr>
            <w:tcW w:w="1265"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53" w:firstLine="0"/>
              <w:jc w:val="left"/>
            </w:pPr>
            <w:r>
              <w:rPr>
                <w:rFonts w:ascii="Times New Roman" w:eastAsia="Times New Roman" w:hAnsi="Times New Roman" w:cs="Times New Roman"/>
                <w:b/>
                <w:color w:val="FFFFFF"/>
                <w:sz w:val="13"/>
              </w:rPr>
              <w:t xml:space="preserve">            350,000,000,000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318</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324</w:t>
            </w:r>
          </w:p>
        </w:tc>
        <w:tc>
          <w:tcPr>
            <w:tcW w:w="4020"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1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1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324</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325</w:t>
            </w:r>
          </w:p>
        </w:tc>
        <w:tc>
          <w:tcPr>
            <w:tcW w:w="4020"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AGGREGATE CAPITAL EXPENDITURE</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b/>
                <w:sz w:val="13"/>
              </w:rPr>
              <w:t xml:space="preserve">       2,685,307,684,387</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b/>
                <w:sz w:val="13"/>
              </w:rPr>
              <w:t xml:space="preserve">       3,331,034,365,867</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b/>
                <w:sz w:val="13"/>
              </w:rPr>
              <w:t xml:space="preserve">         3,326,461,757,547</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b/>
                <w:sz w:val="13"/>
              </w:rPr>
              <w:t xml:space="preserve">         3,245,337,394,631</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325</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327</w:t>
            </w:r>
          </w:p>
        </w:tc>
        <w:tc>
          <w:tcPr>
            <w:tcW w:w="42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center"/>
            </w:pPr>
            <w:r>
              <w:rPr>
                <w:rFonts w:ascii="Times New Roman" w:eastAsia="Times New Roman" w:hAnsi="Times New Roman" w:cs="Times New Roman"/>
                <w:sz w:val="13"/>
              </w:rPr>
              <w:t>a</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Capital Supplementation</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261,354,210,000</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234,196,000,000</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234,196,000,000</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235,196,000,000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327</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328</w:t>
            </w:r>
          </w:p>
        </w:tc>
        <w:tc>
          <w:tcPr>
            <w:tcW w:w="42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 w:firstLine="0"/>
              <w:jc w:val="center"/>
            </w:pPr>
            <w:r>
              <w:rPr>
                <w:rFonts w:ascii="Times New Roman" w:eastAsia="Times New Roman" w:hAnsi="Times New Roman" w:cs="Times New Roman"/>
                <w:sz w:val="13"/>
              </w:rPr>
              <w:t>b</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Capital Expenditure in Statutory Transfers</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196,770,251,042</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245,086,045,507</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276,615,866,196</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297,734,939,667</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328</w:t>
            </w:r>
          </w:p>
        </w:tc>
      </w:tr>
      <w:tr w:rsidR="001C682A">
        <w:trPr>
          <w:trHeight w:val="188"/>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329</w:t>
            </w:r>
          </w:p>
        </w:tc>
        <w:tc>
          <w:tcPr>
            <w:tcW w:w="42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center"/>
            </w:pPr>
            <w:r>
              <w:rPr>
                <w:rFonts w:ascii="Times New Roman" w:eastAsia="Times New Roman" w:hAnsi="Times New Roman" w:cs="Times New Roman"/>
                <w:sz w:val="13"/>
              </w:rPr>
              <w:t>c</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Special Intervention Programme (Capital)</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4" w:firstLine="0"/>
              <w:jc w:val="center"/>
            </w:pPr>
            <w:r>
              <w:rPr>
                <w:rFonts w:ascii="Times New Roman" w:eastAsia="Times New Roman" w:hAnsi="Times New Roman" w:cs="Times New Roman"/>
                <w:sz w:val="13"/>
              </w:rPr>
              <w:t xml:space="preserve">            20,000,000,000</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4" w:firstLine="0"/>
              <w:jc w:val="center"/>
            </w:pPr>
            <w:r>
              <w:rPr>
                <w:rFonts w:ascii="Times New Roman" w:eastAsia="Times New Roman" w:hAnsi="Times New Roman" w:cs="Times New Roman"/>
                <w:sz w:val="13"/>
              </w:rPr>
              <w:t xml:space="preserve">            20,000,000,000</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20,000,000,000</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20,000,000,000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329</w:t>
            </w:r>
          </w:p>
        </w:tc>
      </w:tr>
      <w:tr w:rsidR="001C682A">
        <w:trPr>
          <w:trHeight w:val="388"/>
        </w:trPr>
        <w:tc>
          <w:tcPr>
            <w:tcW w:w="312" w:type="dxa"/>
            <w:tcBorders>
              <w:top w:val="single" w:sz="3" w:space="0" w:color="000000"/>
              <w:left w:val="single" w:sz="2" w:space="0" w:color="0000D0"/>
              <w:bottom w:val="single" w:sz="3" w:space="0" w:color="000000"/>
              <w:right w:val="single" w:sz="2" w:space="0" w:color="000000"/>
            </w:tcBorders>
            <w:shd w:val="clear" w:color="auto" w:fill="FFFFFF"/>
            <w:vAlign w:val="center"/>
          </w:tcPr>
          <w:p w:rsidR="001C682A" w:rsidRDefault="00B03C38">
            <w:pPr>
              <w:spacing w:after="0" w:line="259" w:lineRule="auto"/>
              <w:ind w:left="45" w:firstLine="0"/>
              <w:jc w:val="left"/>
            </w:pPr>
            <w:r>
              <w:rPr>
                <w:rFonts w:ascii="Times New Roman" w:eastAsia="Times New Roman" w:hAnsi="Times New Roman" w:cs="Times New Roman"/>
                <w:sz w:val="13"/>
              </w:rPr>
              <w:t>330</w:t>
            </w:r>
          </w:p>
        </w:tc>
        <w:tc>
          <w:tcPr>
            <w:tcW w:w="428" w:type="dxa"/>
            <w:tcBorders>
              <w:top w:val="single" w:sz="3" w:space="0" w:color="000000"/>
              <w:left w:val="single" w:sz="2" w:space="0" w:color="000000"/>
              <w:bottom w:val="single" w:sz="3" w:space="0" w:color="000000"/>
              <w:right w:val="single" w:sz="2" w:space="0" w:color="000000"/>
            </w:tcBorders>
            <w:vAlign w:val="center"/>
          </w:tcPr>
          <w:p w:rsidR="001C682A" w:rsidRDefault="00B03C38">
            <w:pPr>
              <w:spacing w:after="0" w:line="259" w:lineRule="auto"/>
              <w:ind w:left="6" w:firstLine="0"/>
              <w:jc w:val="center"/>
            </w:pPr>
            <w:r>
              <w:rPr>
                <w:rFonts w:ascii="Times New Roman" w:eastAsia="Times New Roman" w:hAnsi="Times New Roman" w:cs="Times New Roman"/>
                <w:sz w:val="13"/>
              </w:rPr>
              <w:t>d</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pPr>
            <w:r>
              <w:rPr>
                <w:rFonts w:ascii="Times New Roman" w:eastAsia="Times New Roman" w:hAnsi="Times New Roman" w:cs="Times New Roman"/>
                <w:sz w:val="13"/>
              </w:rPr>
              <w:t>Amount Available for MDAs Capital Expenditure (Including N100bn reallocation of existing capital for COVID-19)</w:t>
            </w:r>
          </w:p>
        </w:tc>
        <w:tc>
          <w:tcPr>
            <w:tcW w:w="1217" w:type="dxa"/>
            <w:tcBorders>
              <w:top w:val="single" w:sz="3" w:space="0" w:color="000000"/>
              <w:left w:val="single" w:sz="2" w:space="0" w:color="000000"/>
              <w:bottom w:val="single" w:sz="3" w:space="0" w:color="000000"/>
              <w:right w:val="single" w:sz="2" w:space="0" w:color="000000"/>
            </w:tcBorders>
            <w:vAlign w:val="center"/>
          </w:tcPr>
          <w:p w:rsidR="001C682A" w:rsidRDefault="00B03C38">
            <w:pPr>
              <w:spacing w:after="0" w:line="259" w:lineRule="auto"/>
              <w:ind w:left="65" w:firstLine="0"/>
              <w:jc w:val="left"/>
            </w:pPr>
            <w:r>
              <w:rPr>
                <w:rFonts w:ascii="Times New Roman" w:eastAsia="Times New Roman" w:hAnsi="Times New Roman" w:cs="Times New Roman"/>
                <w:sz w:val="13"/>
              </w:rPr>
              <w:t xml:space="preserve">       1,349,989,018,202</w:t>
            </w:r>
          </w:p>
        </w:tc>
        <w:tc>
          <w:tcPr>
            <w:tcW w:w="1217" w:type="dxa"/>
            <w:tcBorders>
              <w:top w:val="single" w:sz="3" w:space="0" w:color="000000"/>
              <w:left w:val="single" w:sz="2" w:space="0" w:color="000000"/>
              <w:bottom w:val="single" w:sz="3" w:space="0" w:color="000000"/>
              <w:right w:val="single" w:sz="2" w:space="0" w:color="000000"/>
            </w:tcBorders>
            <w:vAlign w:val="center"/>
          </w:tcPr>
          <w:p w:rsidR="001C682A" w:rsidRDefault="00B03C38">
            <w:pPr>
              <w:spacing w:after="0" w:line="259" w:lineRule="auto"/>
              <w:ind w:left="65" w:firstLine="0"/>
              <w:jc w:val="left"/>
            </w:pPr>
            <w:r>
              <w:rPr>
                <w:rFonts w:ascii="Times New Roman" w:eastAsia="Times New Roman" w:hAnsi="Times New Roman" w:cs="Times New Roman"/>
                <w:sz w:val="13"/>
              </w:rPr>
              <w:t xml:space="preserve">       1,484,987,920,022</w:t>
            </w:r>
          </w:p>
        </w:tc>
        <w:tc>
          <w:tcPr>
            <w:tcW w:w="1265" w:type="dxa"/>
            <w:tcBorders>
              <w:top w:val="single" w:sz="3" w:space="0" w:color="000000"/>
              <w:left w:val="single" w:sz="2" w:space="0" w:color="000000"/>
              <w:bottom w:val="single" w:sz="3" w:space="0" w:color="000000"/>
              <w:right w:val="single" w:sz="2" w:space="0" w:color="000000"/>
            </w:tcBorders>
            <w:vAlign w:val="center"/>
          </w:tcPr>
          <w:p w:rsidR="001C682A" w:rsidRDefault="00B03C38">
            <w:pPr>
              <w:spacing w:after="0" w:line="259" w:lineRule="auto"/>
              <w:ind w:left="53" w:firstLine="0"/>
              <w:jc w:val="left"/>
            </w:pPr>
            <w:r>
              <w:rPr>
                <w:rFonts w:ascii="Times New Roman" w:eastAsia="Times New Roman" w:hAnsi="Times New Roman" w:cs="Times New Roman"/>
                <w:sz w:val="13"/>
              </w:rPr>
              <w:t xml:space="preserve">         1,559,237,316,023</w:t>
            </w:r>
          </w:p>
        </w:tc>
        <w:tc>
          <w:tcPr>
            <w:tcW w:w="1265" w:type="dxa"/>
            <w:tcBorders>
              <w:top w:val="single" w:sz="3" w:space="0" w:color="000000"/>
              <w:left w:val="single" w:sz="2" w:space="0" w:color="000000"/>
              <w:bottom w:val="single" w:sz="3" w:space="0" w:color="000000"/>
              <w:right w:val="single" w:sz="2" w:space="0" w:color="000000"/>
            </w:tcBorders>
            <w:vAlign w:val="center"/>
          </w:tcPr>
          <w:p w:rsidR="001C682A" w:rsidRDefault="00B03C38">
            <w:pPr>
              <w:spacing w:after="0" w:line="259" w:lineRule="auto"/>
              <w:ind w:left="53" w:firstLine="0"/>
              <w:jc w:val="left"/>
            </w:pPr>
            <w:r>
              <w:rPr>
                <w:rFonts w:ascii="Times New Roman" w:eastAsia="Times New Roman" w:hAnsi="Times New Roman" w:cs="Times New Roman"/>
                <w:sz w:val="13"/>
              </w:rPr>
              <w:t xml:space="preserve">         1,637,199,181,825</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vAlign w:val="center"/>
          </w:tcPr>
          <w:p w:rsidR="001C682A" w:rsidRDefault="00B03C38">
            <w:pPr>
              <w:spacing w:after="0" w:line="259" w:lineRule="auto"/>
              <w:ind w:left="47" w:firstLine="0"/>
              <w:jc w:val="left"/>
            </w:pPr>
            <w:r>
              <w:rPr>
                <w:rFonts w:ascii="Times New Roman" w:eastAsia="Times New Roman" w:hAnsi="Times New Roman" w:cs="Times New Roman"/>
                <w:sz w:val="13"/>
              </w:rPr>
              <w:t>330</w:t>
            </w:r>
          </w:p>
        </w:tc>
      </w:tr>
      <w:tr w:rsidR="001C682A">
        <w:trPr>
          <w:trHeight w:val="187"/>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333</w:t>
            </w:r>
          </w:p>
        </w:tc>
        <w:tc>
          <w:tcPr>
            <w:tcW w:w="42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center"/>
            </w:pPr>
            <w:r>
              <w:rPr>
                <w:rFonts w:ascii="Times New Roman" w:eastAsia="Times New Roman" w:hAnsi="Times New Roman" w:cs="Times New Roman"/>
                <w:sz w:val="13"/>
              </w:rPr>
              <w:t>e</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COVID-19 Crisis Intervention Fund- Incremental Capital</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4" w:firstLine="0"/>
              <w:jc w:val="center"/>
            </w:pPr>
            <w:r>
              <w:rPr>
                <w:rFonts w:ascii="Times New Roman" w:eastAsia="Times New Roman" w:hAnsi="Times New Roman" w:cs="Times New Roman"/>
                <w:sz w:val="13"/>
              </w:rPr>
              <w:t xml:space="preserve">            99,652,119,333</w:t>
            </w:r>
          </w:p>
        </w:tc>
        <w:tc>
          <w:tcPr>
            <w:tcW w:w="121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333</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334</w:t>
            </w:r>
          </w:p>
        </w:tc>
        <w:tc>
          <w:tcPr>
            <w:tcW w:w="42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firstLine="0"/>
              <w:jc w:val="center"/>
            </w:pPr>
            <w:r>
              <w:rPr>
                <w:rFonts w:ascii="Times New Roman" w:eastAsia="Times New Roman" w:hAnsi="Times New Roman" w:cs="Times New Roman"/>
                <w:sz w:val="13"/>
              </w:rPr>
              <w:t>f</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COVID-19 Intervention Across the Federation</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186,370,000,000</w:t>
            </w:r>
          </w:p>
        </w:tc>
        <w:tc>
          <w:tcPr>
            <w:tcW w:w="121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335</w:t>
            </w:r>
          </w:p>
        </w:tc>
        <w:tc>
          <w:tcPr>
            <w:tcW w:w="42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 w:firstLine="0"/>
              <w:jc w:val="center"/>
            </w:pPr>
            <w:r>
              <w:rPr>
                <w:rFonts w:ascii="Times New Roman" w:eastAsia="Times New Roman" w:hAnsi="Times New Roman" w:cs="Times New Roman"/>
                <w:sz w:val="13"/>
              </w:rPr>
              <w:t>g</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Top 10 GOEs Capital Expenditure</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141,170,085,810</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335,593,381,300</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395,931,657,853</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352,734,395,522</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167"/>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336</w:t>
            </w:r>
          </w:p>
        </w:tc>
        <w:tc>
          <w:tcPr>
            <w:tcW w:w="42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 w:firstLine="0"/>
              <w:jc w:val="center"/>
            </w:pPr>
            <w:r>
              <w:rPr>
                <w:rFonts w:ascii="Times New Roman" w:eastAsia="Times New Roman" w:hAnsi="Times New Roman" w:cs="Times New Roman"/>
                <w:sz w:val="13"/>
              </w:rPr>
              <w:t>h</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Grants and Donor Funded Projects</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4" w:firstLine="0"/>
              <w:jc w:val="center"/>
            </w:pPr>
            <w:r>
              <w:rPr>
                <w:rFonts w:ascii="Times New Roman" w:eastAsia="Times New Roman" w:hAnsi="Times New Roman" w:cs="Times New Roman"/>
                <w:sz w:val="13"/>
              </w:rPr>
              <w:t xml:space="preserve">            42,703,200,000</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337,063,214,232</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269,962,377,192</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243,219,957,192</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336</w:t>
            </w:r>
          </w:p>
        </w:tc>
      </w:tr>
      <w:tr w:rsidR="001C682A">
        <w:trPr>
          <w:trHeight w:val="191"/>
        </w:trPr>
        <w:tc>
          <w:tcPr>
            <w:tcW w:w="312" w:type="dxa"/>
            <w:tcBorders>
              <w:top w:val="single" w:sz="3" w:space="0" w:color="000000"/>
              <w:left w:val="single" w:sz="2" w:space="0" w:color="0000D0"/>
              <w:bottom w:val="doub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337</w:t>
            </w:r>
          </w:p>
        </w:tc>
        <w:tc>
          <w:tcPr>
            <w:tcW w:w="428" w:type="dxa"/>
            <w:tcBorders>
              <w:top w:val="single" w:sz="3" w:space="0" w:color="000000"/>
              <w:left w:val="single" w:sz="2" w:space="0" w:color="000000"/>
              <w:bottom w:val="double" w:sz="3" w:space="0" w:color="000000"/>
              <w:right w:val="single" w:sz="2" w:space="0" w:color="000000"/>
            </w:tcBorders>
          </w:tcPr>
          <w:p w:rsidR="001C682A" w:rsidRDefault="00B03C38">
            <w:pPr>
              <w:spacing w:after="0" w:line="259" w:lineRule="auto"/>
              <w:ind w:left="4" w:firstLine="0"/>
              <w:jc w:val="center"/>
            </w:pPr>
            <w:proofErr w:type="spellStart"/>
            <w:r>
              <w:rPr>
                <w:rFonts w:ascii="Times New Roman" w:eastAsia="Times New Roman" w:hAnsi="Times New Roman" w:cs="Times New Roman"/>
                <w:sz w:val="13"/>
              </w:rPr>
              <w:t>i</w:t>
            </w:r>
            <w:proofErr w:type="spellEnd"/>
          </w:p>
        </w:tc>
        <w:tc>
          <w:tcPr>
            <w:tcW w:w="3592" w:type="dxa"/>
            <w:tcBorders>
              <w:top w:val="single" w:sz="3" w:space="0" w:color="000000"/>
              <w:left w:val="single" w:sz="2" w:space="0" w:color="000000"/>
              <w:bottom w:val="doub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Multi-lateral / Bi-lateral Project-tied Loans</w:t>
            </w:r>
          </w:p>
        </w:tc>
        <w:tc>
          <w:tcPr>
            <w:tcW w:w="1217" w:type="dxa"/>
            <w:tcBorders>
              <w:top w:val="single" w:sz="3" w:space="0" w:color="000000"/>
              <w:left w:val="single" w:sz="2" w:space="0" w:color="000000"/>
              <w:bottom w:val="doub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387,298,800,000</w:t>
            </w:r>
          </w:p>
        </w:tc>
        <w:tc>
          <w:tcPr>
            <w:tcW w:w="1217" w:type="dxa"/>
            <w:tcBorders>
              <w:top w:val="single" w:sz="3" w:space="0" w:color="000000"/>
              <w:left w:val="single" w:sz="2" w:space="0" w:color="000000"/>
              <w:bottom w:val="doub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 xml:space="preserve">          674,107,804,805</w:t>
            </w:r>
          </w:p>
        </w:tc>
        <w:tc>
          <w:tcPr>
            <w:tcW w:w="1265" w:type="dxa"/>
            <w:tcBorders>
              <w:top w:val="single" w:sz="3" w:space="0" w:color="000000"/>
              <w:left w:val="single" w:sz="2" w:space="0" w:color="000000"/>
              <w:bottom w:val="doub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570,518,540,282</w:t>
            </w:r>
          </w:p>
        </w:tc>
        <w:tc>
          <w:tcPr>
            <w:tcW w:w="1265" w:type="dxa"/>
            <w:tcBorders>
              <w:top w:val="single" w:sz="3" w:space="0" w:color="000000"/>
              <w:left w:val="single" w:sz="2" w:space="0" w:color="000000"/>
              <w:bottom w:val="double" w:sz="3" w:space="0" w:color="000000"/>
              <w:right w:val="single" w:sz="2" w:space="0" w:color="000000"/>
            </w:tcBorders>
          </w:tcPr>
          <w:p w:rsidR="001C682A" w:rsidRDefault="00B03C38">
            <w:pPr>
              <w:spacing w:after="0" w:line="259" w:lineRule="auto"/>
              <w:ind w:left="53" w:firstLine="0"/>
              <w:jc w:val="left"/>
            </w:pPr>
            <w:r>
              <w:rPr>
                <w:rFonts w:ascii="Times New Roman" w:eastAsia="Times New Roman" w:hAnsi="Times New Roman" w:cs="Times New Roman"/>
                <w:sz w:val="13"/>
              </w:rPr>
              <w:t xml:space="preserve">            459,252,920,426</w:t>
            </w:r>
          </w:p>
        </w:tc>
        <w:tc>
          <w:tcPr>
            <w:tcW w:w="71" w:type="dxa"/>
            <w:tcBorders>
              <w:top w:val="single" w:sz="3" w:space="0" w:color="000000"/>
              <w:left w:val="single" w:sz="2" w:space="0" w:color="000000"/>
              <w:bottom w:val="doub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double" w:sz="3" w:space="0" w:color="000000"/>
              <w:right w:val="single" w:sz="5" w:space="0" w:color="0000D0"/>
            </w:tcBorders>
          </w:tcPr>
          <w:p w:rsidR="001C682A" w:rsidRDefault="001C682A">
            <w:pPr>
              <w:spacing w:after="160" w:line="259" w:lineRule="auto"/>
              <w:ind w:left="0" w:firstLine="0"/>
              <w:jc w:val="left"/>
            </w:pPr>
          </w:p>
        </w:tc>
      </w:tr>
      <w:tr w:rsidR="001C682A">
        <w:trPr>
          <w:trHeight w:val="197"/>
        </w:trPr>
        <w:tc>
          <w:tcPr>
            <w:tcW w:w="312" w:type="dxa"/>
            <w:tcBorders>
              <w:top w:val="doub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338339</w:t>
            </w:r>
          </w:p>
        </w:tc>
        <w:tc>
          <w:tcPr>
            <w:tcW w:w="4020" w:type="dxa"/>
            <w:gridSpan w:val="2"/>
            <w:tcBorders>
              <w:top w:val="doub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0" w:firstLine="0"/>
              <w:jc w:val="left"/>
            </w:pPr>
            <w:r>
              <w:rPr>
                <w:rFonts w:ascii="Times New Roman" w:eastAsia="Times New Roman" w:hAnsi="Times New Roman" w:cs="Times New Roman"/>
                <w:b/>
                <w:color w:val="FFFFFF"/>
                <w:sz w:val="13"/>
              </w:rPr>
              <w:t>Capital Expenditure (Exclusive of Transfers)</w:t>
            </w:r>
          </w:p>
        </w:tc>
        <w:tc>
          <w:tcPr>
            <w:tcW w:w="1217" w:type="dxa"/>
            <w:tcBorders>
              <w:top w:val="doub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65" w:firstLine="0"/>
              <w:jc w:val="left"/>
            </w:pPr>
            <w:r>
              <w:rPr>
                <w:rFonts w:ascii="Times New Roman" w:eastAsia="Times New Roman" w:hAnsi="Times New Roman" w:cs="Times New Roman"/>
                <w:b/>
                <w:color w:val="FFFFFF"/>
                <w:sz w:val="13"/>
              </w:rPr>
              <w:t xml:space="preserve">       2,488,537,433,345</w:t>
            </w:r>
          </w:p>
        </w:tc>
        <w:tc>
          <w:tcPr>
            <w:tcW w:w="1217" w:type="dxa"/>
            <w:tcBorders>
              <w:top w:val="doub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65" w:firstLine="0"/>
              <w:jc w:val="left"/>
            </w:pPr>
            <w:r>
              <w:rPr>
                <w:rFonts w:ascii="Times New Roman" w:eastAsia="Times New Roman" w:hAnsi="Times New Roman" w:cs="Times New Roman"/>
                <w:b/>
                <w:color w:val="FFFFFF"/>
                <w:sz w:val="13"/>
              </w:rPr>
              <w:t xml:space="preserve">       3,085,948,320,359</w:t>
            </w:r>
          </w:p>
        </w:tc>
        <w:tc>
          <w:tcPr>
            <w:tcW w:w="1265" w:type="dxa"/>
            <w:tcBorders>
              <w:top w:val="doub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53" w:firstLine="0"/>
              <w:jc w:val="left"/>
            </w:pPr>
            <w:r>
              <w:rPr>
                <w:rFonts w:ascii="Times New Roman" w:eastAsia="Times New Roman" w:hAnsi="Times New Roman" w:cs="Times New Roman"/>
                <w:b/>
                <w:color w:val="FFFFFF"/>
                <w:sz w:val="13"/>
              </w:rPr>
              <w:t xml:space="preserve">         3,049,845,891,350</w:t>
            </w:r>
          </w:p>
        </w:tc>
        <w:tc>
          <w:tcPr>
            <w:tcW w:w="1265" w:type="dxa"/>
            <w:tcBorders>
              <w:top w:val="doub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53" w:firstLine="0"/>
              <w:jc w:val="left"/>
            </w:pPr>
            <w:r>
              <w:rPr>
                <w:rFonts w:ascii="Times New Roman" w:eastAsia="Times New Roman" w:hAnsi="Times New Roman" w:cs="Times New Roman"/>
                <w:b/>
                <w:color w:val="FFFFFF"/>
                <w:sz w:val="13"/>
              </w:rPr>
              <w:t xml:space="preserve">         2,947,602,454,964</w:t>
            </w:r>
          </w:p>
        </w:tc>
        <w:tc>
          <w:tcPr>
            <w:tcW w:w="71" w:type="dxa"/>
            <w:tcBorders>
              <w:top w:val="doub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doub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338339</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340</w:t>
            </w:r>
          </w:p>
        </w:tc>
        <w:tc>
          <w:tcPr>
            <w:tcW w:w="4020"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1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1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340</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341</w:t>
            </w:r>
          </w:p>
        </w:tc>
        <w:tc>
          <w:tcPr>
            <w:tcW w:w="4020" w:type="dxa"/>
            <w:gridSpan w:val="2"/>
            <w:tcBorders>
              <w:top w:val="single" w:sz="3" w:space="0" w:color="000000"/>
              <w:left w:val="single" w:sz="2" w:space="0" w:color="000000"/>
              <w:bottom w:val="single" w:sz="3" w:space="0" w:color="000000"/>
              <w:right w:val="single" w:sz="2" w:space="0" w:color="000000"/>
            </w:tcBorders>
            <w:shd w:val="clear" w:color="auto" w:fill="000000"/>
          </w:tcPr>
          <w:p w:rsidR="001C682A" w:rsidRDefault="00B03C38">
            <w:pPr>
              <w:spacing w:after="0" w:line="259" w:lineRule="auto"/>
              <w:ind w:left="0" w:firstLine="0"/>
              <w:jc w:val="left"/>
            </w:pPr>
            <w:r>
              <w:rPr>
                <w:rFonts w:ascii="Times New Roman" w:eastAsia="Times New Roman" w:hAnsi="Times New Roman" w:cs="Times New Roman"/>
                <w:b/>
                <w:color w:val="FFFFFF"/>
                <w:sz w:val="13"/>
              </w:rPr>
              <w:t>TOTAL FGN BUDGET (Excluding GOEs &amp; Project-tied Loans)</w:t>
            </w:r>
          </w:p>
        </w:tc>
        <w:tc>
          <w:tcPr>
            <w:tcW w:w="1217" w:type="dxa"/>
            <w:tcBorders>
              <w:top w:val="single" w:sz="3" w:space="0" w:color="000000"/>
              <w:left w:val="single" w:sz="2" w:space="0" w:color="000000"/>
              <w:bottom w:val="single" w:sz="3" w:space="0" w:color="000000"/>
              <w:right w:val="single" w:sz="2" w:space="0" w:color="000000"/>
            </w:tcBorders>
            <w:shd w:val="clear" w:color="auto" w:fill="000000"/>
          </w:tcPr>
          <w:p w:rsidR="001C682A" w:rsidRDefault="00B03C38">
            <w:pPr>
              <w:spacing w:after="0" w:line="259" w:lineRule="auto"/>
              <w:ind w:left="65" w:firstLine="0"/>
              <w:jc w:val="left"/>
            </w:pPr>
            <w:r>
              <w:rPr>
                <w:rFonts w:ascii="Times New Roman" w:eastAsia="Times New Roman" w:hAnsi="Times New Roman" w:cs="Times New Roman"/>
                <w:b/>
                <w:color w:val="FFFFFF"/>
                <w:sz w:val="13"/>
              </w:rPr>
              <w:t xml:space="preserve">       9,973,667,309,448</w:t>
            </w:r>
          </w:p>
        </w:tc>
        <w:tc>
          <w:tcPr>
            <w:tcW w:w="1217" w:type="dxa"/>
            <w:tcBorders>
              <w:top w:val="single" w:sz="3" w:space="0" w:color="000000"/>
              <w:left w:val="single" w:sz="2" w:space="0" w:color="000000"/>
              <w:bottom w:val="single" w:sz="3" w:space="0" w:color="000000"/>
              <w:right w:val="single" w:sz="2" w:space="0" w:color="000000"/>
            </w:tcBorders>
            <w:shd w:val="clear" w:color="auto" w:fill="000000"/>
          </w:tcPr>
          <w:p w:rsidR="001C682A" w:rsidRDefault="00B03C38">
            <w:pPr>
              <w:spacing w:after="0" w:line="259" w:lineRule="auto"/>
              <w:ind w:left="65" w:firstLine="0"/>
              <w:jc w:val="left"/>
            </w:pPr>
            <w:r>
              <w:rPr>
                <w:rFonts w:ascii="Times New Roman" w:eastAsia="Times New Roman" w:hAnsi="Times New Roman" w:cs="Times New Roman"/>
                <w:b/>
                <w:color w:val="FFFFFF"/>
                <w:sz w:val="13"/>
              </w:rPr>
              <w:t xml:space="preserve">     10,635,064,889,518</w:t>
            </w:r>
          </w:p>
        </w:tc>
        <w:tc>
          <w:tcPr>
            <w:tcW w:w="1265" w:type="dxa"/>
            <w:tcBorders>
              <w:top w:val="single" w:sz="3" w:space="0" w:color="000000"/>
              <w:left w:val="single" w:sz="2" w:space="0" w:color="000000"/>
              <w:bottom w:val="single" w:sz="3" w:space="0" w:color="000000"/>
              <w:right w:val="single" w:sz="2" w:space="0" w:color="000000"/>
            </w:tcBorders>
            <w:shd w:val="clear" w:color="auto" w:fill="000000"/>
          </w:tcPr>
          <w:p w:rsidR="001C682A" w:rsidRDefault="00B03C38">
            <w:pPr>
              <w:spacing w:after="0" w:line="259" w:lineRule="auto"/>
              <w:ind w:left="53" w:firstLine="0"/>
              <w:jc w:val="left"/>
            </w:pPr>
            <w:r>
              <w:rPr>
                <w:rFonts w:ascii="Times New Roman" w:eastAsia="Times New Roman" w:hAnsi="Times New Roman" w:cs="Times New Roman"/>
                <w:b/>
                <w:color w:val="FFFFFF"/>
                <w:sz w:val="13"/>
              </w:rPr>
              <w:t xml:space="preserve">       11,228,418,630,701</w:t>
            </w:r>
          </w:p>
        </w:tc>
        <w:tc>
          <w:tcPr>
            <w:tcW w:w="1265" w:type="dxa"/>
            <w:tcBorders>
              <w:top w:val="single" w:sz="3" w:space="0" w:color="000000"/>
              <w:left w:val="single" w:sz="2" w:space="0" w:color="000000"/>
              <w:bottom w:val="single" w:sz="3" w:space="0" w:color="000000"/>
              <w:right w:val="single" w:sz="2" w:space="0" w:color="000000"/>
            </w:tcBorders>
            <w:shd w:val="clear" w:color="auto" w:fill="000000"/>
          </w:tcPr>
          <w:p w:rsidR="001C682A" w:rsidRDefault="00B03C38">
            <w:pPr>
              <w:spacing w:after="0" w:line="259" w:lineRule="auto"/>
              <w:ind w:left="53" w:firstLine="0"/>
              <w:jc w:val="left"/>
            </w:pPr>
            <w:r>
              <w:rPr>
                <w:rFonts w:ascii="Times New Roman" w:eastAsia="Times New Roman" w:hAnsi="Times New Roman" w:cs="Times New Roman"/>
                <w:b/>
                <w:color w:val="FFFFFF"/>
                <w:sz w:val="13"/>
              </w:rPr>
              <w:t xml:space="preserve">       11,422,216,386,925</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342</w:t>
            </w:r>
          </w:p>
        </w:tc>
        <w:tc>
          <w:tcPr>
            <w:tcW w:w="4020" w:type="dxa"/>
            <w:gridSpan w:val="2"/>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0" w:firstLine="0"/>
              <w:jc w:val="left"/>
            </w:pPr>
            <w:r>
              <w:rPr>
                <w:rFonts w:ascii="Times New Roman" w:eastAsia="Times New Roman" w:hAnsi="Times New Roman" w:cs="Times New Roman"/>
                <w:b/>
                <w:color w:val="FFFFFF"/>
                <w:sz w:val="13"/>
              </w:rPr>
              <w:t>TOTAL FGN BUDGET (Including GOEs &amp; Project-tied Loans)</w:t>
            </w:r>
          </w:p>
        </w:tc>
        <w:tc>
          <w:tcPr>
            <w:tcW w:w="1217"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65" w:firstLine="0"/>
              <w:jc w:val="left"/>
            </w:pPr>
            <w:r>
              <w:rPr>
                <w:rFonts w:ascii="Times New Roman" w:eastAsia="Times New Roman" w:hAnsi="Times New Roman" w:cs="Times New Roman"/>
                <w:b/>
                <w:color w:val="FFFFFF"/>
                <w:sz w:val="13"/>
              </w:rPr>
              <w:t xml:space="preserve">     10,810,548,872,072</w:t>
            </w:r>
          </w:p>
        </w:tc>
        <w:tc>
          <w:tcPr>
            <w:tcW w:w="1217"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65" w:firstLine="0"/>
              <w:jc w:val="left"/>
            </w:pPr>
            <w:r>
              <w:rPr>
                <w:rFonts w:ascii="Times New Roman" w:eastAsia="Times New Roman" w:hAnsi="Times New Roman" w:cs="Times New Roman"/>
                <w:b/>
                <w:color w:val="FFFFFF"/>
                <w:sz w:val="13"/>
              </w:rPr>
              <w:t xml:space="preserve">     12,658,009,802,282</w:t>
            </w:r>
          </w:p>
        </w:tc>
        <w:tc>
          <w:tcPr>
            <w:tcW w:w="1265"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53" w:firstLine="0"/>
              <w:jc w:val="left"/>
            </w:pPr>
            <w:r>
              <w:rPr>
                <w:rFonts w:ascii="Times New Roman" w:eastAsia="Times New Roman" w:hAnsi="Times New Roman" w:cs="Times New Roman"/>
                <w:b/>
                <w:color w:val="FFFFFF"/>
                <w:sz w:val="13"/>
              </w:rPr>
              <w:t xml:space="preserve">       13,273,365,740,079</w:t>
            </w:r>
          </w:p>
        </w:tc>
        <w:tc>
          <w:tcPr>
            <w:tcW w:w="1265"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53" w:firstLine="0"/>
              <w:jc w:val="left"/>
            </w:pPr>
            <w:r>
              <w:rPr>
                <w:rFonts w:ascii="Times New Roman" w:eastAsia="Times New Roman" w:hAnsi="Times New Roman" w:cs="Times New Roman"/>
                <w:b/>
                <w:color w:val="FFFFFF"/>
                <w:sz w:val="13"/>
              </w:rPr>
              <w:t xml:space="preserve">       13,373,376,899,585</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342</w:t>
            </w:r>
          </w:p>
        </w:tc>
      </w:tr>
      <w:tr w:rsidR="001C682A">
        <w:trPr>
          <w:trHeight w:val="181"/>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343</w:t>
            </w:r>
          </w:p>
        </w:tc>
        <w:tc>
          <w:tcPr>
            <w:tcW w:w="4020"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Fiscal Deficit (excluding GOEs and Project-tied Loans)</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2" w:firstLine="0"/>
              <w:jc w:val="right"/>
            </w:pPr>
            <w:r>
              <w:rPr>
                <w:rFonts w:ascii="Times New Roman" w:eastAsia="Times New Roman" w:hAnsi="Times New Roman" w:cs="Times New Roman"/>
                <w:b/>
                <w:color w:val="FF0000"/>
                <w:sz w:val="13"/>
              </w:rPr>
              <w:t>(4,608,244,586,828)</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2" w:firstLine="0"/>
              <w:jc w:val="right"/>
            </w:pPr>
            <w:r>
              <w:rPr>
                <w:rFonts w:ascii="Times New Roman" w:eastAsia="Times New Roman" w:hAnsi="Times New Roman" w:cs="Times New Roman"/>
                <w:b/>
                <w:color w:val="FF0000"/>
                <w:sz w:val="13"/>
              </w:rPr>
              <w:t>(4,486,322,275,567)</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2" w:firstLine="0"/>
              <w:jc w:val="right"/>
            </w:pPr>
            <w:r>
              <w:rPr>
                <w:rFonts w:ascii="Times New Roman" w:eastAsia="Times New Roman" w:hAnsi="Times New Roman" w:cs="Times New Roman"/>
                <w:b/>
                <w:color w:val="FF0000"/>
                <w:sz w:val="13"/>
              </w:rPr>
              <w:t>(4,830,141,753,120)</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3" w:firstLine="0"/>
              <w:jc w:val="right"/>
            </w:pPr>
            <w:r>
              <w:rPr>
                <w:rFonts w:ascii="Times New Roman" w:eastAsia="Times New Roman" w:hAnsi="Times New Roman" w:cs="Times New Roman"/>
                <w:b/>
                <w:color w:val="FF0000"/>
                <w:sz w:val="13"/>
              </w:rPr>
              <w:t>(4,561,841,347,558)</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181"/>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344</w:t>
            </w:r>
          </w:p>
        </w:tc>
        <w:tc>
          <w:tcPr>
            <w:tcW w:w="4020"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Total Fiscal Deficit (including GOEs and Project-tied Loans)</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2" w:firstLine="0"/>
              <w:jc w:val="right"/>
            </w:pPr>
            <w:r>
              <w:rPr>
                <w:rFonts w:ascii="Times New Roman" w:eastAsia="Times New Roman" w:hAnsi="Times New Roman" w:cs="Times New Roman"/>
                <w:b/>
                <w:color w:val="FF0000"/>
                <w:sz w:val="13"/>
              </w:rPr>
              <w:t>(4,975,543,386,828)</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2" w:firstLine="0"/>
              <w:jc w:val="right"/>
            </w:pPr>
            <w:r>
              <w:rPr>
                <w:rFonts w:ascii="Times New Roman" w:eastAsia="Times New Roman" w:hAnsi="Times New Roman" w:cs="Times New Roman"/>
                <w:b/>
                <w:color w:val="FF0000"/>
                <w:sz w:val="13"/>
              </w:rPr>
              <w:t>(5,160,430,080,372)</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2" w:firstLine="0"/>
              <w:jc w:val="right"/>
            </w:pPr>
            <w:r>
              <w:rPr>
                <w:rFonts w:ascii="Times New Roman" w:eastAsia="Times New Roman" w:hAnsi="Times New Roman" w:cs="Times New Roman"/>
                <w:b/>
                <w:color w:val="FF0000"/>
                <w:sz w:val="13"/>
              </w:rPr>
              <w:t>(5,400,660,293,402)</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3" w:firstLine="0"/>
              <w:jc w:val="right"/>
            </w:pPr>
            <w:r>
              <w:rPr>
                <w:rFonts w:ascii="Times New Roman" w:eastAsia="Times New Roman" w:hAnsi="Times New Roman" w:cs="Times New Roman"/>
                <w:b/>
                <w:color w:val="FF0000"/>
                <w:sz w:val="13"/>
              </w:rPr>
              <w:t>(5,021,094,267,984)</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344</w:t>
            </w:r>
          </w:p>
        </w:tc>
      </w:tr>
      <w:tr w:rsidR="001C682A">
        <w:trPr>
          <w:trHeight w:val="181"/>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345</w:t>
            </w:r>
          </w:p>
        </w:tc>
        <w:tc>
          <w:tcPr>
            <w:tcW w:w="4020"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GDP</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3" w:firstLine="0"/>
              <w:jc w:val="center"/>
            </w:pPr>
            <w:r>
              <w:rPr>
                <w:rFonts w:ascii="Times New Roman" w:eastAsia="Times New Roman" w:hAnsi="Times New Roman" w:cs="Times New Roman"/>
                <w:b/>
                <w:sz w:val="13"/>
              </w:rPr>
              <w:t>139,517,515,936,044</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3" w:firstLine="0"/>
              <w:jc w:val="center"/>
            </w:pPr>
            <w:r>
              <w:rPr>
                <w:rFonts w:ascii="Times New Roman" w:eastAsia="Times New Roman" w:hAnsi="Times New Roman" w:cs="Times New Roman"/>
                <w:b/>
                <w:sz w:val="13"/>
              </w:rPr>
              <w:t>142,694,417,135,112</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72" w:firstLine="0"/>
              <w:jc w:val="left"/>
            </w:pPr>
            <w:r>
              <w:rPr>
                <w:rFonts w:ascii="Times New Roman" w:eastAsia="Times New Roman" w:hAnsi="Times New Roman" w:cs="Times New Roman"/>
                <w:b/>
                <w:sz w:val="13"/>
              </w:rPr>
              <w:t>146,794,565,467,177</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72" w:firstLine="0"/>
              <w:jc w:val="left"/>
            </w:pPr>
            <w:r>
              <w:rPr>
                <w:rFonts w:ascii="Times New Roman" w:eastAsia="Times New Roman" w:hAnsi="Times New Roman" w:cs="Times New Roman"/>
                <w:b/>
                <w:sz w:val="13"/>
              </w:rPr>
              <w:t>151,464,431,638,719</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345</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346</w:t>
            </w:r>
          </w:p>
        </w:tc>
        <w:tc>
          <w:tcPr>
            <w:tcW w:w="4020"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DEFICIT/GDP (excluding GOEs and Project-tied Loans)</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2" w:firstLine="0"/>
              <w:jc w:val="right"/>
            </w:pPr>
            <w:r>
              <w:rPr>
                <w:rFonts w:ascii="Times New Roman" w:eastAsia="Times New Roman" w:hAnsi="Times New Roman" w:cs="Times New Roman"/>
                <w:b/>
                <w:color w:val="FF0000"/>
                <w:sz w:val="13"/>
              </w:rPr>
              <w:t>(3.30%)</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2" w:firstLine="0"/>
              <w:jc w:val="right"/>
            </w:pPr>
            <w:r>
              <w:rPr>
                <w:rFonts w:ascii="Times New Roman" w:eastAsia="Times New Roman" w:hAnsi="Times New Roman" w:cs="Times New Roman"/>
                <w:b/>
                <w:color w:val="FF0000"/>
                <w:sz w:val="13"/>
              </w:rPr>
              <w:t>(3.14%)</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2" w:firstLine="0"/>
              <w:jc w:val="right"/>
            </w:pPr>
            <w:r>
              <w:rPr>
                <w:rFonts w:ascii="Times New Roman" w:eastAsia="Times New Roman" w:hAnsi="Times New Roman" w:cs="Times New Roman"/>
                <w:b/>
                <w:color w:val="FF0000"/>
                <w:sz w:val="13"/>
              </w:rPr>
              <w:t>(3.29%)</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2" w:firstLine="0"/>
              <w:jc w:val="right"/>
            </w:pPr>
            <w:r>
              <w:rPr>
                <w:rFonts w:ascii="Times New Roman" w:eastAsia="Times New Roman" w:hAnsi="Times New Roman" w:cs="Times New Roman"/>
                <w:b/>
                <w:color w:val="FF0000"/>
                <w:sz w:val="13"/>
              </w:rPr>
              <w:t>(3.01%)</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346</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347</w:t>
            </w:r>
          </w:p>
        </w:tc>
        <w:tc>
          <w:tcPr>
            <w:tcW w:w="4020"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DEFICIT/GDP (including GOEs and Project-tied Loans)</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2" w:firstLine="0"/>
              <w:jc w:val="right"/>
            </w:pPr>
            <w:r>
              <w:rPr>
                <w:rFonts w:ascii="Times New Roman" w:eastAsia="Times New Roman" w:hAnsi="Times New Roman" w:cs="Times New Roman"/>
                <w:b/>
                <w:color w:val="FF0000"/>
                <w:sz w:val="13"/>
              </w:rPr>
              <w:t>(3.57%)</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2" w:firstLine="0"/>
              <w:jc w:val="right"/>
            </w:pPr>
            <w:r>
              <w:rPr>
                <w:rFonts w:ascii="Times New Roman" w:eastAsia="Times New Roman" w:hAnsi="Times New Roman" w:cs="Times New Roman"/>
                <w:b/>
                <w:color w:val="FF0000"/>
                <w:sz w:val="13"/>
              </w:rPr>
              <w:t>(3.62%)</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2" w:firstLine="0"/>
              <w:jc w:val="right"/>
            </w:pPr>
            <w:r>
              <w:rPr>
                <w:rFonts w:ascii="Times New Roman" w:eastAsia="Times New Roman" w:hAnsi="Times New Roman" w:cs="Times New Roman"/>
                <w:b/>
                <w:color w:val="FF0000"/>
                <w:sz w:val="13"/>
              </w:rPr>
              <w:t>(3.68%)</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2" w:firstLine="0"/>
              <w:jc w:val="right"/>
            </w:pPr>
            <w:r>
              <w:rPr>
                <w:rFonts w:ascii="Times New Roman" w:eastAsia="Times New Roman" w:hAnsi="Times New Roman" w:cs="Times New Roman"/>
                <w:b/>
                <w:color w:val="FF0000"/>
                <w:sz w:val="13"/>
              </w:rPr>
              <w:t>(3.32%)</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348</w:t>
            </w:r>
          </w:p>
        </w:tc>
        <w:tc>
          <w:tcPr>
            <w:tcW w:w="428" w:type="dxa"/>
            <w:tcBorders>
              <w:top w:val="single" w:sz="3" w:space="0" w:color="000000"/>
              <w:left w:val="single" w:sz="2" w:space="0" w:color="000000"/>
              <w:bottom w:val="nil"/>
              <w:right w:val="single" w:sz="2" w:space="0" w:color="D4D4D4"/>
            </w:tcBorders>
          </w:tcPr>
          <w:p w:rsidR="001C682A" w:rsidRDefault="001C682A">
            <w:pPr>
              <w:spacing w:after="160" w:line="259" w:lineRule="auto"/>
              <w:ind w:left="0" w:firstLine="0"/>
              <w:jc w:val="left"/>
            </w:pPr>
          </w:p>
        </w:tc>
        <w:tc>
          <w:tcPr>
            <w:tcW w:w="3592" w:type="dxa"/>
            <w:tcBorders>
              <w:top w:val="single" w:sz="3" w:space="0" w:color="000000"/>
              <w:left w:val="single" w:sz="2" w:space="0" w:color="D4D4D4"/>
              <w:bottom w:val="nil"/>
              <w:right w:val="single" w:sz="2" w:space="0" w:color="000000"/>
            </w:tcBorders>
          </w:tcPr>
          <w:p w:rsidR="001C682A" w:rsidRDefault="001C682A">
            <w:pPr>
              <w:spacing w:after="160" w:line="259" w:lineRule="auto"/>
              <w:ind w:left="0" w:firstLine="0"/>
              <w:jc w:val="left"/>
            </w:pPr>
          </w:p>
        </w:tc>
        <w:tc>
          <w:tcPr>
            <w:tcW w:w="121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1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348</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349</w:t>
            </w:r>
          </w:p>
        </w:tc>
        <w:tc>
          <w:tcPr>
            <w:tcW w:w="4020" w:type="dxa"/>
            <w:gridSpan w:val="2"/>
            <w:tcBorders>
              <w:top w:val="nil"/>
              <w:left w:val="single" w:sz="2" w:space="0" w:color="000000"/>
              <w:bottom w:val="single" w:sz="3" w:space="0" w:color="000000"/>
              <w:right w:val="single" w:sz="2" w:space="0" w:color="000000"/>
            </w:tcBorders>
            <w:shd w:val="clear" w:color="auto" w:fill="000000"/>
          </w:tcPr>
          <w:p w:rsidR="001C682A" w:rsidRDefault="00B03C38">
            <w:pPr>
              <w:spacing w:after="0" w:line="259" w:lineRule="auto"/>
              <w:ind w:left="0" w:firstLine="0"/>
              <w:jc w:val="left"/>
            </w:pPr>
            <w:r>
              <w:rPr>
                <w:rFonts w:ascii="Times New Roman" w:eastAsia="Times New Roman" w:hAnsi="Times New Roman" w:cs="Times New Roman"/>
                <w:b/>
                <w:color w:val="FFFFFF"/>
                <w:sz w:val="13"/>
              </w:rPr>
              <w:t>TOTAL FGN EXPENDITURE</w:t>
            </w:r>
          </w:p>
        </w:tc>
        <w:tc>
          <w:tcPr>
            <w:tcW w:w="1217" w:type="dxa"/>
            <w:tcBorders>
              <w:top w:val="single" w:sz="3" w:space="0" w:color="000000"/>
              <w:left w:val="single" w:sz="2" w:space="0" w:color="000000"/>
              <w:bottom w:val="single" w:sz="3" w:space="0" w:color="000000"/>
              <w:right w:val="single" w:sz="2" w:space="0" w:color="000000"/>
            </w:tcBorders>
            <w:shd w:val="clear" w:color="auto" w:fill="000000"/>
          </w:tcPr>
          <w:p w:rsidR="001C682A" w:rsidRDefault="00B03C38">
            <w:pPr>
              <w:spacing w:after="0" w:line="259" w:lineRule="auto"/>
              <w:ind w:left="0" w:firstLine="0"/>
              <w:jc w:val="right"/>
            </w:pPr>
            <w:r>
              <w:rPr>
                <w:rFonts w:ascii="Times New Roman" w:eastAsia="Times New Roman" w:hAnsi="Times New Roman" w:cs="Times New Roman"/>
                <w:b/>
                <w:color w:val="FFFFFF"/>
                <w:sz w:val="13"/>
              </w:rPr>
              <w:t>10,810,548,872,072</w:t>
            </w:r>
          </w:p>
        </w:tc>
        <w:tc>
          <w:tcPr>
            <w:tcW w:w="1217" w:type="dxa"/>
            <w:tcBorders>
              <w:top w:val="single" w:sz="3" w:space="0" w:color="000000"/>
              <w:left w:val="single" w:sz="2" w:space="0" w:color="000000"/>
              <w:bottom w:val="single" w:sz="3" w:space="0" w:color="000000"/>
              <w:right w:val="single" w:sz="2" w:space="0" w:color="000000"/>
            </w:tcBorders>
            <w:shd w:val="clear" w:color="auto" w:fill="000000"/>
          </w:tcPr>
          <w:p w:rsidR="001C682A" w:rsidRDefault="00B03C38">
            <w:pPr>
              <w:spacing w:after="0" w:line="259" w:lineRule="auto"/>
              <w:ind w:left="0" w:firstLine="0"/>
              <w:jc w:val="right"/>
            </w:pPr>
            <w:r>
              <w:rPr>
                <w:rFonts w:ascii="Times New Roman" w:eastAsia="Times New Roman" w:hAnsi="Times New Roman" w:cs="Times New Roman"/>
                <w:b/>
                <w:color w:val="FFFFFF"/>
                <w:sz w:val="13"/>
              </w:rPr>
              <w:t>12,658,009,802,282</w:t>
            </w:r>
          </w:p>
        </w:tc>
        <w:tc>
          <w:tcPr>
            <w:tcW w:w="1265" w:type="dxa"/>
            <w:tcBorders>
              <w:top w:val="single" w:sz="3" w:space="0" w:color="000000"/>
              <w:left w:val="single" w:sz="2" w:space="0" w:color="000000"/>
              <w:bottom w:val="single" w:sz="3" w:space="0" w:color="000000"/>
              <w:right w:val="single" w:sz="2" w:space="0" w:color="000000"/>
            </w:tcBorders>
            <w:shd w:val="clear" w:color="auto" w:fill="000000"/>
          </w:tcPr>
          <w:p w:rsidR="001C682A" w:rsidRDefault="00B03C38">
            <w:pPr>
              <w:spacing w:after="0" w:line="259" w:lineRule="auto"/>
              <w:ind w:left="0" w:firstLine="0"/>
              <w:jc w:val="right"/>
            </w:pPr>
            <w:r>
              <w:rPr>
                <w:rFonts w:ascii="Times New Roman" w:eastAsia="Times New Roman" w:hAnsi="Times New Roman" w:cs="Times New Roman"/>
                <w:b/>
                <w:color w:val="FFFFFF"/>
                <w:sz w:val="13"/>
              </w:rPr>
              <w:t>13,273,365,740,079</w:t>
            </w:r>
          </w:p>
        </w:tc>
        <w:tc>
          <w:tcPr>
            <w:tcW w:w="1265" w:type="dxa"/>
            <w:tcBorders>
              <w:top w:val="single" w:sz="3" w:space="0" w:color="000000"/>
              <w:left w:val="single" w:sz="2" w:space="0" w:color="000000"/>
              <w:bottom w:val="single" w:sz="3" w:space="0" w:color="000000"/>
              <w:right w:val="single" w:sz="2" w:space="0" w:color="000000"/>
            </w:tcBorders>
            <w:shd w:val="clear" w:color="auto" w:fill="000000"/>
          </w:tcPr>
          <w:p w:rsidR="001C682A" w:rsidRDefault="00B03C38">
            <w:pPr>
              <w:spacing w:after="0" w:line="259" w:lineRule="auto"/>
              <w:ind w:left="0" w:right="1" w:firstLine="0"/>
              <w:jc w:val="right"/>
            </w:pPr>
            <w:r>
              <w:rPr>
                <w:rFonts w:ascii="Times New Roman" w:eastAsia="Times New Roman" w:hAnsi="Times New Roman" w:cs="Times New Roman"/>
                <w:b/>
                <w:color w:val="FFFFFF"/>
                <w:sz w:val="13"/>
              </w:rPr>
              <w:t>13,373,376,899,585</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349</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lastRenderedPageBreak/>
              <w:t>350</w:t>
            </w:r>
          </w:p>
        </w:tc>
        <w:tc>
          <w:tcPr>
            <w:tcW w:w="4020"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Total Non-Debt Expenditure</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b/>
                <w:sz w:val="13"/>
              </w:rPr>
              <w:t>7,858,838,872,072</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b/>
                <w:sz w:val="13"/>
              </w:rPr>
              <w:t>9,313,629,802,282</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right"/>
            </w:pPr>
            <w:r>
              <w:rPr>
                <w:rFonts w:ascii="Times New Roman" w:eastAsia="Times New Roman" w:hAnsi="Times New Roman" w:cs="Times New Roman"/>
                <w:b/>
                <w:sz w:val="13"/>
              </w:rPr>
              <w:t>9,490,185,740,079</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1" w:firstLine="0"/>
              <w:jc w:val="right"/>
            </w:pPr>
            <w:r>
              <w:rPr>
                <w:rFonts w:ascii="Times New Roman" w:eastAsia="Times New Roman" w:hAnsi="Times New Roman" w:cs="Times New Roman"/>
                <w:b/>
                <w:sz w:val="13"/>
              </w:rPr>
              <w:t>9,590,196,899,585</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350</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351</w:t>
            </w:r>
          </w:p>
        </w:tc>
        <w:tc>
          <w:tcPr>
            <w:tcW w:w="4020"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Capital Expenditure as % of Non-Debt Expenditure</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3" w:firstLine="0"/>
              <w:jc w:val="right"/>
            </w:pPr>
            <w:r>
              <w:rPr>
                <w:rFonts w:ascii="Times New Roman" w:eastAsia="Times New Roman" w:hAnsi="Times New Roman" w:cs="Times New Roman"/>
                <w:sz w:val="13"/>
              </w:rPr>
              <w:t>34%</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3" w:firstLine="0"/>
              <w:jc w:val="right"/>
            </w:pPr>
            <w:r>
              <w:rPr>
                <w:rFonts w:ascii="Times New Roman" w:eastAsia="Times New Roman" w:hAnsi="Times New Roman" w:cs="Times New Roman"/>
                <w:sz w:val="13"/>
              </w:rPr>
              <w:t>36%</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3" w:firstLine="0"/>
              <w:jc w:val="right"/>
            </w:pPr>
            <w:r>
              <w:rPr>
                <w:rFonts w:ascii="Times New Roman" w:eastAsia="Times New Roman" w:hAnsi="Times New Roman" w:cs="Times New Roman"/>
                <w:sz w:val="13"/>
              </w:rPr>
              <w:t>35%</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4" w:firstLine="0"/>
              <w:jc w:val="right"/>
            </w:pPr>
            <w:r>
              <w:rPr>
                <w:rFonts w:ascii="Times New Roman" w:eastAsia="Times New Roman" w:hAnsi="Times New Roman" w:cs="Times New Roman"/>
                <w:sz w:val="13"/>
              </w:rPr>
              <w:t>34%</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351</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352</w:t>
            </w:r>
          </w:p>
        </w:tc>
        <w:tc>
          <w:tcPr>
            <w:tcW w:w="4020"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Capital Expenditure as % of total FGN Expenditure</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3" w:firstLine="0"/>
              <w:jc w:val="right"/>
            </w:pPr>
            <w:r>
              <w:rPr>
                <w:rFonts w:ascii="Times New Roman" w:eastAsia="Times New Roman" w:hAnsi="Times New Roman" w:cs="Times New Roman"/>
                <w:sz w:val="13"/>
              </w:rPr>
              <w:t>25%</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3" w:firstLine="0"/>
              <w:jc w:val="right"/>
            </w:pPr>
            <w:r>
              <w:rPr>
                <w:rFonts w:ascii="Times New Roman" w:eastAsia="Times New Roman" w:hAnsi="Times New Roman" w:cs="Times New Roman"/>
                <w:sz w:val="13"/>
              </w:rPr>
              <w:t>26%</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3" w:firstLine="0"/>
              <w:jc w:val="right"/>
            </w:pPr>
            <w:r>
              <w:rPr>
                <w:rFonts w:ascii="Times New Roman" w:eastAsia="Times New Roman" w:hAnsi="Times New Roman" w:cs="Times New Roman"/>
                <w:sz w:val="13"/>
              </w:rPr>
              <w:t>25%</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4" w:firstLine="0"/>
              <w:jc w:val="right"/>
            </w:pPr>
            <w:r>
              <w:rPr>
                <w:rFonts w:ascii="Times New Roman" w:eastAsia="Times New Roman" w:hAnsi="Times New Roman" w:cs="Times New Roman"/>
                <w:sz w:val="13"/>
              </w:rPr>
              <w:t>24%</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352</w:t>
            </w:r>
          </w:p>
        </w:tc>
      </w:tr>
      <w:tr w:rsidR="001C682A">
        <w:trPr>
          <w:trHeight w:val="35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353</w:t>
            </w:r>
          </w:p>
        </w:tc>
        <w:tc>
          <w:tcPr>
            <w:tcW w:w="4020"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Capital Expenditure (Inclusive of Transfers, but exclusive of GOEs Capital &amp; Project-tied loans) as % of FGN Expenditure</w:t>
            </w:r>
          </w:p>
        </w:tc>
        <w:tc>
          <w:tcPr>
            <w:tcW w:w="1217" w:type="dxa"/>
            <w:tcBorders>
              <w:top w:val="single" w:sz="3" w:space="0" w:color="000000"/>
              <w:left w:val="single" w:sz="2" w:space="0" w:color="000000"/>
              <w:bottom w:val="single" w:sz="3" w:space="0" w:color="000000"/>
              <w:right w:val="single" w:sz="2" w:space="0" w:color="000000"/>
            </w:tcBorders>
            <w:vAlign w:val="center"/>
          </w:tcPr>
          <w:p w:rsidR="001C682A" w:rsidRDefault="00B03C38">
            <w:pPr>
              <w:spacing w:after="0" w:line="259" w:lineRule="auto"/>
              <w:ind w:left="0" w:right="43" w:firstLine="0"/>
              <w:jc w:val="right"/>
            </w:pPr>
            <w:r>
              <w:rPr>
                <w:rFonts w:ascii="Times New Roman" w:eastAsia="Times New Roman" w:hAnsi="Times New Roman" w:cs="Times New Roman"/>
                <w:sz w:val="13"/>
              </w:rPr>
              <w:t>22%</w:t>
            </w:r>
          </w:p>
        </w:tc>
        <w:tc>
          <w:tcPr>
            <w:tcW w:w="1217" w:type="dxa"/>
            <w:tcBorders>
              <w:top w:val="single" w:sz="3" w:space="0" w:color="000000"/>
              <w:left w:val="single" w:sz="2" w:space="0" w:color="000000"/>
              <w:bottom w:val="single" w:sz="3" w:space="0" w:color="000000"/>
              <w:right w:val="single" w:sz="2" w:space="0" w:color="000000"/>
            </w:tcBorders>
            <w:vAlign w:val="center"/>
          </w:tcPr>
          <w:p w:rsidR="001C682A" w:rsidRDefault="00B03C38">
            <w:pPr>
              <w:spacing w:after="0" w:line="259" w:lineRule="auto"/>
              <w:ind w:left="0" w:right="43" w:firstLine="0"/>
              <w:jc w:val="right"/>
            </w:pPr>
            <w:r>
              <w:rPr>
                <w:rFonts w:ascii="Times New Roman" w:eastAsia="Times New Roman" w:hAnsi="Times New Roman" w:cs="Times New Roman"/>
                <w:sz w:val="13"/>
              </w:rPr>
              <w:t>22%</w:t>
            </w:r>
          </w:p>
        </w:tc>
        <w:tc>
          <w:tcPr>
            <w:tcW w:w="1265" w:type="dxa"/>
            <w:tcBorders>
              <w:top w:val="single" w:sz="3" w:space="0" w:color="000000"/>
              <w:left w:val="single" w:sz="2" w:space="0" w:color="000000"/>
              <w:bottom w:val="single" w:sz="3" w:space="0" w:color="000000"/>
              <w:right w:val="single" w:sz="2" w:space="0" w:color="000000"/>
            </w:tcBorders>
            <w:vAlign w:val="center"/>
          </w:tcPr>
          <w:p w:rsidR="001C682A" w:rsidRDefault="00B03C38">
            <w:pPr>
              <w:spacing w:after="0" w:line="259" w:lineRule="auto"/>
              <w:ind w:left="0" w:right="43" w:firstLine="0"/>
              <w:jc w:val="right"/>
            </w:pPr>
            <w:r>
              <w:rPr>
                <w:rFonts w:ascii="Times New Roman" w:eastAsia="Times New Roman" w:hAnsi="Times New Roman" w:cs="Times New Roman"/>
                <w:sz w:val="13"/>
              </w:rPr>
              <w:t>21%</w:t>
            </w:r>
          </w:p>
        </w:tc>
        <w:tc>
          <w:tcPr>
            <w:tcW w:w="1265" w:type="dxa"/>
            <w:tcBorders>
              <w:top w:val="single" w:sz="3" w:space="0" w:color="000000"/>
              <w:left w:val="single" w:sz="2" w:space="0" w:color="000000"/>
              <w:bottom w:val="single" w:sz="3" w:space="0" w:color="000000"/>
              <w:right w:val="single" w:sz="2" w:space="0" w:color="000000"/>
            </w:tcBorders>
            <w:vAlign w:val="center"/>
          </w:tcPr>
          <w:p w:rsidR="001C682A" w:rsidRDefault="00B03C38">
            <w:pPr>
              <w:spacing w:after="0" w:line="259" w:lineRule="auto"/>
              <w:ind w:left="0" w:right="44" w:firstLine="0"/>
              <w:jc w:val="right"/>
            </w:pPr>
            <w:r>
              <w:rPr>
                <w:rFonts w:ascii="Times New Roman" w:eastAsia="Times New Roman" w:hAnsi="Times New Roman" w:cs="Times New Roman"/>
                <w:sz w:val="13"/>
              </w:rPr>
              <w:t>21%</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354</w:t>
            </w:r>
          </w:p>
        </w:tc>
        <w:tc>
          <w:tcPr>
            <w:tcW w:w="4020"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31" w:firstLine="0"/>
              <w:jc w:val="center"/>
            </w:pPr>
            <w:r>
              <w:rPr>
                <w:rFonts w:ascii="Times New Roman" w:eastAsia="Times New Roman" w:hAnsi="Times New Roman" w:cs="Times New Roman"/>
                <w:sz w:val="13"/>
              </w:rPr>
              <w:t>Recurrent Expenditure as % of total FGN Exp (incl. GOEs + Project-tied Loans)</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3" w:firstLine="0"/>
              <w:jc w:val="right"/>
            </w:pPr>
            <w:r>
              <w:rPr>
                <w:rFonts w:ascii="Times New Roman" w:eastAsia="Times New Roman" w:hAnsi="Times New Roman" w:cs="Times New Roman"/>
                <w:sz w:val="13"/>
              </w:rPr>
              <w:t>75%</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3" w:firstLine="0"/>
              <w:jc w:val="right"/>
            </w:pPr>
            <w:r>
              <w:rPr>
                <w:rFonts w:ascii="Times New Roman" w:eastAsia="Times New Roman" w:hAnsi="Times New Roman" w:cs="Times New Roman"/>
                <w:sz w:val="13"/>
              </w:rPr>
              <w:t>74%</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3" w:firstLine="0"/>
              <w:jc w:val="right"/>
            </w:pPr>
            <w:r>
              <w:rPr>
                <w:rFonts w:ascii="Times New Roman" w:eastAsia="Times New Roman" w:hAnsi="Times New Roman" w:cs="Times New Roman"/>
                <w:sz w:val="13"/>
              </w:rPr>
              <w:t>75%</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4" w:firstLine="0"/>
              <w:jc w:val="right"/>
            </w:pPr>
            <w:r>
              <w:rPr>
                <w:rFonts w:ascii="Times New Roman" w:eastAsia="Times New Roman" w:hAnsi="Times New Roman" w:cs="Times New Roman"/>
                <w:sz w:val="13"/>
              </w:rPr>
              <w:t>76%</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354</w:t>
            </w:r>
          </w:p>
        </w:tc>
      </w:tr>
      <w:tr w:rsidR="001C682A">
        <w:trPr>
          <w:trHeight w:val="201"/>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355</w:t>
            </w:r>
          </w:p>
        </w:tc>
        <w:tc>
          <w:tcPr>
            <w:tcW w:w="4020"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Debt Service to Revenue Ratio (incl. GOEs + Project-tied Loans)</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3" w:firstLine="0"/>
              <w:jc w:val="right"/>
            </w:pPr>
            <w:r>
              <w:rPr>
                <w:rFonts w:ascii="Times New Roman" w:eastAsia="Times New Roman" w:hAnsi="Times New Roman" w:cs="Times New Roman"/>
                <w:sz w:val="13"/>
              </w:rPr>
              <w:t>46%</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3" w:firstLine="0"/>
              <w:jc w:val="right"/>
            </w:pPr>
            <w:r>
              <w:rPr>
                <w:rFonts w:ascii="Times New Roman" w:eastAsia="Times New Roman" w:hAnsi="Times New Roman" w:cs="Times New Roman"/>
                <w:sz w:val="13"/>
              </w:rPr>
              <w:t>42%</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3" w:firstLine="0"/>
              <w:jc w:val="right"/>
            </w:pPr>
            <w:r>
              <w:rPr>
                <w:rFonts w:ascii="Times New Roman" w:eastAsia="Times New Roman" w:hAnsi="Times New Roman" w:cs="Times New Roman"/>
                <w:sz w:val="13"/>
              </w:rPr>
              <w:t>44%</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4" w:firstLine="0"/>
              <w:jc w:val="right"/>
            </w:pPr>
            <w:r>
              <w:rPr>
                <w:rFonts w:ascii="Times New Roman" w:eastAsia="Times New Roman" w:hAnsi="Times New Roman" w:cs="Times New Roman"/>
                <w:sz w:val="13"/>
              </w:rPr>
              <w:t>42%</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355</w:t>
            </w:r>
          </w:p>
        </w:tc>
      </w:tr>
      <w:tr w:rsidR="001C682A">
        <w:trPr>
          <w:trHeight w:val="201"/>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356</w:t>
            </w:r>
          </w:p>
        </w:tc>
        <w:tc>
          <w:tcPr>
            <w:tcW w:w="4020"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sz w:val="13"/>
              </w:rPr>
              <w:t>Deficit as % of FGN Revenue (incl. GOEs + Project-tied Loans)</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3" w:firstLine="0"/>
              <w:jc w:val="right"/>
            </w:pPr>
            <w:r>
              <w:rPr>
                <w:rFonts w:ascii="Times New Roman" w:eastAsia="Times New Roman" w:hAnsi="Times New Roman" w:cs="Times New Roman"/>
                <w:sz w:val="13"/>
              </w:rPr>
              <w:t>85%</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3" w:firstLine="0"/>
              <w:jc w:val="right"/>
            </w:pPr>
            <w:r>
              <w:rPr>
                <w:rFonts w:ascii="Times New Roman" w:eastAsia="Times New Roman" w:hAnsi="Times New Roman" w:cs="Times New Roman"/>
                <w:sz w:val="13"/>
              </w:rPr>
              <w:t>69%</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3" w:firstLine="0"/>
              <w:jc w:val="right"/>
            </w:pPr>
            <w:r>
              <w:rPr>
                <w:rFonts w:ascii="Times New Roman" w:eastAsia="Times New Roman" w:hAnsi="Times New Roman" w:cs="Times New Roman"/>
                <w:sz w:val="13"/>
              </w:rPr>
              <w:t>69%</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4" w:firstLine="0"/>
              <w:jc w:val="right"/>
            </w:pPr>
            <w:r>
              <w:rPr>
                <w:rFonts w:ascii="Times New Roman" w:eastAsia="Times New Roman" w:hAnsi="Times New Roman" w:cs="Times New Roman"/>
                <w:sz w:val="13"/>
              </w:rPr>
              <w:t>60%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356</w:t>
            </w:r>
          </w:p>
        </w:tc>
      </w:tr>
      <w:tr w:rsidR="001C682A">
        <w:trPr>
          <w:trHeight w:val="15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357</w:t>
            </w:r>
          </w:p>
        </w:tc>
        <w:tc>
          <w:tcPr>
            <w:tcW w:w="4020"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1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1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358</w:t>
            </w:r>
          </w:p>
        </w:tc>
        <w:tc>
          <w:tcPr>
            <w:tcW w:w="4020"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b/>
                <w:sz w:val="13"/>
              </w:rPr>
              <w:t>ADDITIONAL FINANCING</w:t>
            </w:r>
          </w:p>
        </w:tc>
        <w:tc>
          <w:tcPr>
            <w:tcW w:w="121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1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358</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359</w:t>
            </w:r>
          </w:p>
        </w:tc>
        <w:tc>
          <w:tcPr>
            <w:tcW w:w="42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center"/>
            </w:pPr>
            <w:r>
              <w:rPr>
                <w:rFonts w:ascii="Times New Roman" w:eastAsia="Times New Roman" w:hAnsi="Times New Roman" w:cs="Times New Roman"/>
                <w:sz w:val="13"/>
              </w:rPr>
              <w:t>a</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Sales of Government Property</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sz w:val="13"/>
              </w:rPr>
              <w:t xml:space="preserve">                                -</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sz w:val="13"/>
              </w:rPr>
              <w:t xml:space="preserve">                                -</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sz w:val="13"/>
              </w:rPr>
              <w:t xml:space="preserve">                                  -</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sz w:val="13"/>
              </w:rPr>
              <w:t xml:space="preserve">                                  -</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359</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360</w:t>
            </w:r>
          </w:p>
        </w:tc>
        <w:tc>
          <w:tcPr>
            <w:tcW w:w="42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 w:firstLine="0"/>
              <w:jc w:val="center"/>
            </w:pPr>
            <w:r>
              <w:rPr>
                <w:rFonts w:ascii="Times New Roman" w:eastAsia="Times New Roman" w:hAnsi="Times New Roman" w:cs="Times New Roman"/>
                <w:sz w:val="13"/>
              </w:rPr>
              <w:t>b</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Privatization Proceeds</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sz w:val="13"/>
              </w:rPr>
              <w:t xml:space="preserve">          126,041,863,844</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sz w:val="13"/>
              </w:rPr>
              <w:t xml:space="preserve">          205,153,707,813</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sz w:val="13"/>
              </w:rPr>
              <w:t xml:space="preserve">              83,562,450,000</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sz w:val="13"/>
              </w:rPr>
              <w:t xml:space="preserve">            164,933,750,000</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360</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361</w:t>
            </w:r>
          </w:p>
        </w:tc>
        <w:tc>
          <w:tcPr>
            <w:tcW w:w="42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center"/>
            </w:pPr>
            <w:r>
              <w:rPr>
                <w:rFonts w:ascii="Times New Roman" w:eastAsia="Times New Roman" w:hAnsi="Times New Roman" w:cs="Times New Roman"/>
                <w:sz w:val="13"/>
              </w:rPr>
              <w:t>c</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Non-Oil Asset Sales</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sz w:val="13"/>
              </w:rPr>
              <w:t xml:space="preserve">                                -</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sz w:val="13"/>
              </w:rPr>
              <w:t xml:space="preserve">                                -</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sz w:val="13"/>
              </w:rPr>
              <w:t xml:space="preserve">                                  -</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sz w:val="13"/>
              </w:rPr>
              <w:t xml:space="preserve">                                  -</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361</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364</w:t>
            </w:r>
          </w:p>
        </w:tc>
        <w:tc>
          <w:tcPr>
            <w:tcW w:w="42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 w:firstLine="0"/>
              <w:jc w:val="center"/>
            </w:pPr>
            <w:r>
              <w:rPr>
                <w:rFonts w:ascii="Times New Roman" w:eastAsia="Times New Roman" w:hAnsi="Times New Roman" w:cs="Times New Roman"/>
                <w:sz w:val="13"/>
              </w:rPr>
              <w:t>d</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Multi-lateral / Bi-lateral Project-tied Loans</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sz w:val="13"/>
              </w:rPr>
              <w:t xml:space="preserve">          387,298,800,000</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sz w:val="13"/>
              </w:rPr>
              <w:t xml:space="preserve">          674,107,804,805</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sz w:val="13"/>
              </w:rPr>
              <w:t xml:space="preserve">            570,518,540,282</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sz w:val="13"/>
              </w:rPr>
              <w:t xml:space="preserve">            459,252,920,426</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364</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365</w:t>
            </w:r>
          </w:p>
        </w:tc>
        <w:tc>
          <w:tcPr>
            <w:tcW w:w="42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firstLine="0"/>
              <w:jc w:val="center"/>
            </w:pPr>
            <w:r>
              <w:rPr>
                <w:rFonts w:ascii="Times New Roman" w:eastAsia="Times New Roman" w:hAnsi="Times New Roman" w:cs="Times New Roman"/>
                <w:sz w:val="13"/>
              </w:rPr>
              <w:t>f</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Borrowing from Special Accounts</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sz w:val="13"/>
              </w:rPr>
              <w:t xml:space="preserve">          263,630,000,000</w:t>
            </w:r>
          </w:p>
        </w:tc>
        <w:tc>
          <w:tcPr>
            <w:tcW w:w="121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366</w:t>
            </w:r>
          </w:p>
        </w:tc>
        <w:tc>
          <w:tcPr>
            <w:tcW w:w="428"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 w:firstLine="0"/>
              <w:jc w:val="center"/>
            </w:pPr>
            <w:r>
              <w:rPr>
                <w:rFonts w:ascii="Times New Roman" w:eastAsia="Times New Roman" w:hAnsi="Times New Roman" w:cs="Times New Roman"/>
                <w:sz w:val="13"/>
              </w:rPr>
              <w:t>g</w:t>
            </w: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firstLine="0"/>
              <w:jc w:val="left"/>
            </w:pPr>
            <w:r>
              <w:rPr>
                <w:rFonts w:ascii="Times New Roman" w:eastAsia="Times New Roman" w:hAnsi="Times New Roman" w:cs="Times New Roman"/>
                <w:sz w:val="13"/>
              </w:rPr>
              <w:t>New Borrowings</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b/>
                <w:sz w:val="13"/>
              </w:rPr>
              <w:t xml:space="preserve">       4,198,572,722,984</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b/>
                <w:sz w:val="13"/>
              </w:rPr>
              <w:t xml:space="preserve">       4,281,168,567,753</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b/>
                <w:sz w:val="13"/>
              </w:rPr>
              <w:t xml:space="preserve">         4,746,579,303,120</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42" w:firstLine="0"/>
              <w:jc w:val="left"/>
            </w:pPr>
            <w:r>
              <w:rPr>
                <w:rFonts w:ascii="Times New Roman" w:eastAsia="Times New Roman" w:hAnsi="Times New Roman" w:cs="Times New Roman"/>
                <w:b/>
                <w:sz w:val="13"/>
              </w:rPr>
              <w:t xml:space="preserve">         4,396,907,597,558</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366</w:t>
            </w:r>
          </w:p>
        </w:tc>
      </w:tr>
      <w:tr w:rsidR="001C682A">
        <w:trPr>
          <w:trHeight w:val="21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367</w:t>
            </w:r>
          </w:p>
        </w:tc>
        <w:tc>
          <w:tcPr>
            <w:tcW w:w="428"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i/>
                <w:sz w:val="13"/>
              </w:rPr>
              <w:t>Domestic Borrowing</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6" w:firstLine="0"/>
              <w:jc w:val="left"/>
            </w:pPr>
            <w:r>
              <w:rPr>
                <w:rFonts w:ascii="Times New Roman" w:eastAsia="Times New Roman" w:hAnsi="Times New Roman" w:cs="Times New Roman"/>
                <w:i/>
                <w:sz w:val="13"/>
              </w:rPr>
              <w:t xml:space="preserve">       2,213,892,722,984</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6" w:firstLine="0"/>
              <w:jc w:val="left"/>
            </w:pPr>
            <w:r>
              <w:rPr>
                <w:rFonts w:ascii="Times New Roman" w:eastAsia="Times New Roman" w:hAnsi="Times New Roman" w:cs="Times New Roman"/>
                <w:i/>
                <w:sz w:val="13"/>
              </w:rPr>
              <w:t xml:space="preserve">       2,140,584,283,877</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6" w:firstLine="0"/>
              <w:jc w:val="left"/>
            </w:pPr>
            <w:r>
              <w:rPr>
                <w:rFonts w:ascii="Times New Roman" w:eastAsia="Times New Roman" w:hAnsi="Times New Roman" w:cs="Times New Roman"/>
                <w:i/>
                <w:sz w:val="13"/>
              </w:rPr>
              <w:t xml:space="preserve">         2,373,289,651,560</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6" w:firstLine="0"/>
              <w:jc w:val="left"/>
            </w:pPr>
            <w:r>
              <w:rPr>
                <w:rFonts w:ascii="Times New Roman" w:eastAsia="Times New Roman" w:hAnsi="Times New Roman" w:cs="Times New Roman"/>
                <w:i/>
                <w:sz w:val="13"/>
              </w:rPr>
              <w:t xml:space="preserve">         2,198,453,798,779</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367</w:t>
            </w:r>
          </w:p>
        </w:tc>
      </w:tr>
      <w:tr w:rsidR="001C682A">
        <w:trPr>
          <w:trHeight w:val="21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368</w:t>
            </w:r>
          </w:p>
        </w:tc>
        <w:tc>
          <w:tcPr>
            <w:tcW w:w="428"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592"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89" w:firstLine="0"/>
              <w:jc w:val="left"/>
            </w:pPr>
            <w:r>
              <w:rPr>
                <w:rFonts w:ascii="Times New Roman" w:eastAsia="Times New Roman" w:hAnsi="Times New Roman" w:cs="Times New Roman"/>
                <w:i/>
                <w:sz w:val="13"/>
              </w:rPr>
              <w:t>Foreign Borrowing</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6" w:firstLine="0"/>
              <w:jc w:val="left"/>
            </w:pPr>
            <w:r>
              <w:rPr>
                <w:rFonts w:ascii="Times New Roman" w:eastAsia="Times New Roman" w:hAnsi="Times New Roman" w:cs="Times New Roman"/>
                <w:i/>
                <w:sz w:val="13"/>
              </w:rPr>
              <w:t xml:space="preserve">       1,984,680,000,000</w:t>
            </w:r>
          </w:p>
        </w:tc>
        <w:tc>
          <w:tcPr>
            <w:tcW w:w="121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6" w:firstLine="0"/>
              <w:jc w:val="left"/>
            </w:pPr>
            <w:r>
              <w:rPr>
                <w:rFonts w:ascii="Times New Roman" w:eastAsia="Times New Roman" w:hAnsi="Times New Roman" w:cs="Times New Roman"/>
                <w:i/>
                <w:sz w:val="13"/>
              </w:rPr>
              <w:t xml:space="preserve">       2,140,584,283,877</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6" w:firstLine="0"/>
              <w:jc w:val="left"/>
            </w:pPr>
            <w:r>
              <w:rPr>
                <w:rFonts w:ascii="Times New Roman" w:eastAsia="Times New Roman" w:hAnsi="Times New Roman" w:cs="Times New Roman"/>
                <w:i/>
                <w:sz w:val="13"/>
              </w:rPr>
              <w:t xml:space="preserve">         2,373,289,651,560</w:t>
            </w:r>
          </w:p>
        </w:tc>
        <w:tc>
          <w:tcPr>
            <w:tcW w:w="126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6" w:firstLine="0"/>
              <w:jc w:val="left"/>
            </w:pPr>
            <w:r>
              <w:rPr>
                <w:rFonts w:ascii="Times New Roman" w:eastAsia="Times New Roman" w:hAnsi="Times New Roman" w:cs="Times New Roman"/>
                <w:i/>
                <w:sz w:val="13"/>
              </w:rPr>
              <w:t xml:space="preserve">         2,198,453,798,779</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368</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382</w:t>
            </w:r>
          </w:p>
        </w:tc>
        <w:tc>
          <w:tcPr>
            <w:tcW w:w="4020" w:type="dxa"/>
            <w:gridSpan w:val="2"/>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0" w:firstLine="0"/>
              <w:jc w:val="left"/>
            </w:pPr>
            <w:r>
              <w:rPr>
                <w:rFonts w:ascii="Times New Roman" w:eastAsia="Times New Roman" w:hAnsi="Times New Roman" w:cs="Times New Roman"/>
                <w:b/>
                <w:color w:val="FFFFFF"/>
                <w:sz w:val="13"/>
              </w:rPr>
              <w:t>Sub-Total</w:t>
            </w:r>
          </w:p>
        </w:tc>
        <w:tc>
          <w:tcPr>
            <w:tcW w:w="1217"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65" w:firstLine="0"/>
              <w:jc w:val="left"/>
            </w:pPr>
            <w:r>
              <w:rPr>
                <w:rFonts w:ascii="Times New Roman" w:eastAsia="Times New Roman" w:hAnsi="Times New Roman" w:cs="Times New Roman"/>
                <w:b/>
                <w:color w:val="FFFFFF"/>
                <w:sz w:val="13"/>
              </w:rPr>
              <w:t xml:space="preserve">       4,975,543,386,828</w:t>
            </w:r>
          </w:p>
        </w:tc>
        <w:tc>
          <w:tcPr>
            <w:tcW w:w="1217"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65" w:firstLine="0"/>
              <w:jc w:val="left"/>
            </w:pPr>
            <w:r>
              <w:rPr>
                <w:rFonts w:ascii="Times New Roman" w:eastAsia="Times New Roman" w:hAnsi="Times New Roman" w:cs="Times New Roman"/>
                <w:b/>
                <w:color w:val="FFFFFF"/>
                <w:sz w:val="13"/>
              </w:rPr>
              <w:t xml:space="preserve">       5,160,430,080,372</w:t>
            </w:r>
          </w:p>
        </w:tc>
        <w:tc>
          <w:tcPr>
            <w:tcW w:w="1265"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53" w:firstLine="0"/>
              <w:jc w:val="left"/>
            </w:pPr>
            <w:r>
              <w:rPr>
                <w:rFonts w:ascii="Times New Roman" w:eastAsia="Times New Roman" w:hAnsi="Times New Roman" w:cs="Times New Roman"/>
                <w:b/>
                <w:color w:val="FFFFFF"/>
                <w:sz w:val="13"/>
              </w:rPr>
              <w:t xml:space="preserve">         5,400,660,293,402</w:t>
            </w:r>
          </w:p>
        </w:tc>
        <w:tc>
          <w:tcPr>
            <w:tcW w:w="1265" w:type="dxa"/>
            <w:tcBorders>
              <w:top w:val="single" w:sz="3" w:space="0" w:color="000000"/>
              <w:left w:val="single" w:sz="2" w:space="0" w:color="000000"/>
              <w:bottom w:val="single" w:sz="3" w:space="0" w:color="000000"/>
              <w:right w:val="single" w:sz="2" w:space="0" w:color="000000"/>
            </w:tcBorders>
            <w:shd w:val="clear" w:color="auto" w:fill="808080"/>
          </w:tcPr>
          <w:p w:rsidR="001C682A" w:rsidRDefault="00B03C38">
            <w:pPr>
              <w:spacing w:after="0" w:line="259" w:lineRule="auto"/>
              <w:ind w:left="53" w:firstLine="0"/>
              <w:jc w:val="left"/>
            </w:pPr>
            <w:r>
              <w:rPr>
                <w:rFonts w:ascii="Times New Roman" w:eastAsia="Times New Roman" w:hAnsi="Times New Roman" w:cs="Times New Roman"/>
                <w:b/>
                <w:color w:val="FFFFFF"/>
                <w:sz w:val="13"/>
              </w:rPr>
              <w:t xml:space="preserve">         5,021,094,267,984</w:t>
            </w: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382</w:t>
            </w:r>
          </w:p>
        </w:tc>
      </w:tr>
      <w:tr w:rsidR="001C682A">
        <w:trPr>
          <w:trHeight w:val="174"/>
        </w:trPr>
        <w:tc>
          <w:tcPr>
            <w:tcW w:w="312"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45" w:firstLine="0"/>
              <w:jc w:val="left"/>
            </w:pPr>
            <w:r>
              <w:rPr>
                <w:rFonts w:ascii="Times New Roman" w:eastAsia="Times New Roman" w:hAnsi="Times New Roman" w:cs="Times New Roman"/>
                <w:sz w:val="13"/>
              </w:rPr>
              <w:t>383</w:t>
            </w:r>
          </w:p>
        </w:tc>
        <w:tc>
          <w:tcPr>
            <w:tcW w:w="4020"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1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1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6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1"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383</w:t>
            </w:r>
          </w:p>
        </w:tc>
      </w:tr>
      <w:tr w:rsidR="001C682A">
        <w:trPr>
          <w:trHeight w:val="172"/>
        </w:trPr>
        <w:tc>
          <w:tcPr>
            <w:tcW w:w="312" w:type="dxa"/>
            <w:tcBorders>
              <w:top w:val="single" w:sz="3" w:space="0" w:color="000000"/>
              <w:left w:val="single" w:sz="2" w:space="0" w:color="0000D0"/>
              <w:bottom w:val="single" w:sz="5" w:space="0" w:color="0000D0"/>
              <w:right w:val="single" w:sz="2" w:space="0" w:color="000000"/>
            </w:tcBorders>
          </w:tcPr>
          <w:p w:rsidR="001C682A" w:rsidRDefault="00B03C38">
            <w:pPr>
              <w:spacing w:after="0" w:line="259" w:lineRule="auto"/>
              <w:ind w:left="45" w:firstLine="0"/>
              <w:jc w:val="left"/>
            </w:pPr>
            <w:r>
              <w:rPr>
                <w:rFonts w:ascii="Times New Roman" w:eastAsia="Times New Roman" w:hAnsi="Times New Roman" w:cs="Times New Roman"/>
                <w:sz w:val="13"/>
              </w:rPr>
              <w:t>384</w:t>
            </w:r>
          </w:p>
        </w:tc>
        <w:tc>
          <w:tcPr>
            <w:tcW w:w="4020" w:type="dxa"/>
            <w:gridSpan w:val="2"/>
            <w:tcBorders>
              <w:top w:val="single" w:sz="3" w:space="0" w:color="000000"/>
              <w:left w:val="single" w:sz="2" w:space="0" w:color="000000"/>
              <w:bottom w:val="single" w:sz="5" w:space="0" w:color="0000D0"/>
              <w:right w:val="single" w:sz="2" w:space="0" w:color="000000"/>
            </w:tcBorders>
            <w:shd w:val="clear" w:color="auto" w:fill="000000"/>
          </w:tcPr>
          <w:p w:rsidR="001C682A" w:rsidRDefault="00B03C38">
            <w:pPr>
              <w:spacing w:after="0" w:line="259" w:lineRule="auto"/>
              <w:ind w:left="0" w:firstLine="0"/>
              <w:jc w:val="left"/>
            </w:pPr>
            <w:r>
              <w:rPr>
                <w:rFonts w:ascii="Times New Roman" w:eastAsia="Times New Roman" w:hAnsi="Times New Roman" w:cs="Times New Roman"/>
                <w:b/>
                <w:color w:val="FFFFFF"/>
                <w:sz w:val="13"/>
              </w:rPr>
              <w:t>Grand -Total (Revenue + Financing)</w:t>
            </w:r>
          </w:p>
        </w:tc>
        <w:tc>
          <w:tcPr>
            <w:tcW w:w="1217" w:type="dxa"/>
            <w:tcBorders>
              <w:top w:val="single" w:sz="3" w:space="0" w:color="000000"/>
              <w:left w:val="single" w:sz="2" w:space="0" w:color="000000"/>
              <w:bottom w:val="single" w:sz="5" w:space="0" w:color="0000D0"/>
              <w:right w:val="single" w:sz="2" w:space="0" w:color="000000"/>
            </w:tcBorders>
            <w:shd w:val="clear" w:color="auto" w:fill="000000"/>
          </w:tcPr>
          <w:p w:rsidR="001C682A" w:rsidRDefault="00B03C38">
            <w:pPr>
              <w:spacing w:after="0" w:line="259" w:lineRule="auto"/>
              <w:ind w:left="0" w:firstLine="0"/>
              <w:jc w:val="right"/>
            </w:pPr>
            <w:r>
              <w:rPr>
                <w:rFonts w:ascii="Times New Roman" w:eastAsia="Times New Roman" w:hAnsi="Times New Roman" w:cs="Times New Roman"/>
                <w:b/>
                <w:color w:val="FFFFFF"/>
                <w:sz w:val="13"/>
              </w:rPr>
              <w:t>10,810,548,872,072</w:t>
            </w:r>
          </w:p>
        </w:tc>
        <w:tc>
          <w:tcPr>
            <w:tcW w:w="1217" w:type="dxa"/>
            <w:tcBorders>
              <w:top w:val="single" w:sz="3" w:space="0" w:color="000000"/>
              <w:left w:val="single" w:sz="2" w:space="0" w:color="000000"/>
              <w:bottom w:val="single" w:sz="5" w:space="0" w:color="0000D0"/>
              <w:right w:val="single" w:sz="2" w:space="0" w:color="000000"/>
            </w:tcBorders>
            <w:shd w:val="clear" w:color="auto" w:fill="000000"/>
          </w:tcPr>
          <w:p w:rsidR="001C682A" w:rsidRDefault="00B03C38">
            <w:pPr>
              <w:spacing w:after="0" w:line="259" w:lineRule="auto"/>
              <w:ind w:left="0" w:firstLine="0"/>
              <w:jc w:val="right"/>
            </w:pPr>
            <w:r>
              <w:rPr>
                <w:rFonts w:ascii="Times New Roman" w:eastAsia="Times New Roman" w:hAnsi="Times New Roman" w:cs="Times New Roman"/>
                <w:b/>
                <w:color w:val="FFFFFF"/>
                <w:sz w:val="13"/>
              </w:rPr>
              <w:t>12,658,009,802,282</w:t>
            </w:r>
          </w:p>
        </w:tc>
        <w:tc>
          <w:tcPr>
            <w:tcW w:w="1265" w:type="dxa"/>
            <w:tcBorders>
              <w:top w:val="single" w:sz="3" w:space="0" w:color="000000"/>
              <w:left w:val="single" w:sz="2" w:space="0" w:color="000000"/>
              <w:bottom w:val="single" w:sz="5" w:space="0" w:color="0000D0"/>
              <w:right w:val="single" w:sz="2" w:space="0" w:color="000000"/>
            </w:tcBorders>
            <w:shd w:val="clear" w:color="auto" w:fill="000000"/>
          </w:tcPr>
          <w:p w:rsidR="001C682A" w:rsidRDefault="00B03C38">
            <w:pPr>
              <w:spacing w:after="0" w:line="259" w:lineRule="auto"/>
              <w:ind w:left="0" w:firstLine="0"/>
              <w:jc w:val="right"/>
            </w:pPr>
            <w:r>
              <w:rPr>
                <w:rFonts w:ascii="Times New Roman" w:eastAsia="Times New Roman" w:hAnsi="Times New Roman" w:cs="Times New Roman"/>
                <w:b/>
                <w:color w:val="FFFFFF"/>
                <w:sz w:val="13"/>
              </w:rPr>
              <w:t>13,273,365,740,079</w:t>
            </w:r>
          </w:p>
        </w:tc>
        <w:tc>
          <w:tcPr>
            <w:tcW w:w="1265" w:type="dxa"/>
            <w:tcBorders>
              <w:top w:val="single" w:sz="3" w:space="0" w:color="000000"/>
              <w:left w:val="single" w:sz="2" w:space="0" w:color="000000"/>
              <w:bottom w:val="single" w:sz="5" w:space="0" w:color="0000D0"/>
              <w:right w:val="single" w:sz="2" w:space="0" w:color="000000"/>
            </w:tcBorders>
            <w:shd w:val="clear" w:color="auto" w:fill="000000"/>
          </w:tcPr>
          <w:p w:rsidR="001C682A" w:rsidRDefault="00B03C38">
            <w:pPr>
              <w:spacing w:after="0" w:line="259" w:lineRule="auto"/>
              <w:ind w:left="0" w:right="1" w:firstLine="0"/>
              <w:jc w:val="right"/>
            </w:pPr>
            <w:r>
              <w:rPr>
                <w:rFonts w:ascii="Times New Roman" w:eastAsia="Times New Roman" w:hAnsi="Times New Roman" w:cs="Times New Roman"/>
                <w:b/>
                <w:color w:val="FFFFFF"/>
                <w:sz w:val="13"/>
              </w:rPr>
              <w:t>13,373,376,899,585</w:t>
            </w:r>
          </w:p>
        </w:tc>
        <w:tc>
          <w:tcPr>
            <w:tcW w:w="71" w:type="dxa"/>
            <w:tcBorders>
              <w:top w:val="single" w:sz="3" w:space="0" w:color="000000"/>
              <w:left w:val="single" w:sz="2" w:space="0" w:color="000000"/>
              <w:bottom w:val="single" w:sz="5" w:space="0" w:color="0000D0"/>
              <w:right w:val="single" w:sz="2" w:space="0" w:color="000000"/>
            </w:tcBorders>
          </w:tcPr>
          <w:p w:rsidR="001C682A" w:rsidRDefault="001C682A">
            <w:pPr>
              <w:spacing w:after="160" w:line="259" w:lineRule="auto"/>
              <w:ind w:left="0" w:firstLine="0"/>
              <w:jc w:val="left"/>
            </w:pPr>
          </w:p>
        </w:tc>
        <w:tc>
          <w:tcPr>
            <w:tcW w:w="307" w:type="dxa"/>
            <w:tcBorders>
              <w:top w:val="single" w:sz="3" w:space="0" w:color="000000"/>
              <w:left w:val="single" w:sz="2" w:space="0" w:color="000000"/>
              <w:bottom w:val="single" w:sz="5" w:space="0" w:color="0000D0"/>
              <w:right w:val="single" w:sz="5" w:space="0" w:color="0000D0"/>
            </w:tcBorders>
          </w:tcPr>
          <w:p w:rsidR="001C682A" w:rsidRDefault="00B03C38">
            <w:pPr>
              <w:spacing w:after="0" w:line="259" w:lineRule="auto"/>
              <w:ind w:left="47" w:firstLine="0"/>
              <w:jc w:val="left"/>
            </w:pPr>
            <w:r>
              <w:rPr>
                <w:rFonts w:ascii="Times New Roman" w:eastAsia="Times New Roman" w:hAnsi="Times New Roman" w:cs="Times New Roman"/>
                <w:sz w:val="13"/>
              </w:rPr>
              <w:t>384</w:t>
            </w:r>
          </w:p>
        </w:tc>
      </w:tr>
    </w:tbl>
    <w:p w:rsidR="001C682A" w:rsidRDefault="001C682A">
      <w:pPr>
        <w:spacing w:after="0" w:line="259" w:lineRule="auto"/>
        <w:ind w:left="-1222" w:right="253" w:firstLine="0"/>
      </w:pPr>
    </w:p>
    <w:tbl>
      <w:tblPr>
        <w:tblStyle w:val="TableGrid"/>
        <w:tblW w:w="9595" w:type="dxa"/>
        <w:tblInd w:w="224" w:type="dxa"/>
        <w:tblCellMar>
          <w:top w:w="14" w:type="dxa"/>
          <w:right w:w="21" w:type="dxa"/>
        </w:tblCellMar>
        <w:tblLook w:val="04A0" w:firstRow="1" w:lastRow="0" w:firstColumn="1" w:lastColumn="0" w:noHBand="0" w:noVBand="1"/>
      </w:tblPr>
      <w:tblGrid>
        <w:gridCol w:w="306"/>
        <w:gridCol w:w="409"/>
        <w:gridCol w:w="3381"/>
        <w:gridCol w:w="1259"/>
        <w:gridCol w:w="1259"/>
        <w:gridCol w:w="1305"/>
        <w:gridCol w:w="1305"/>
        <w:gridCol w:w="67"/>
        <w:gridCol w:w="304"/>
      </w:tblGrid>
      <w:tr w:rsidR="001C682A">
        <w:trPr>
          <w:trHeight w:val="167"/>
        </w:trPr>
        <w:tc>
          <w:tcPr>
            <w:tcW w:w="309" w:type="dxa"/>
            <w:tcBorders>
              <w:top w:val="single" w:sz="3" w:space="0" w:color="0000D0"/>
              <w:left w:val="single" w:sz="2" w:space="0" w:color="0000D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385</w:t>
            </w:r>
          </w:p>
        </w:tc>
        <w:tc>
          <w:tcPr>
            <w:tcW w:w="3987" w:type="dxa"/>
            <w:gridSpan w:val="2"/>
            <w:tcBorders>
              <w:top w:val="single" w:sz="3" w:space="0" w:color="0000D0"/>
              <w:left w:val="single" w:sz="2" w:space="0" w:color="000000"/>
              <w:bottom w:val="single" w:sz="3" w:space="0" w:color="000000"/>
              <w:right w:val="single" w:sz="2" w:space="0" w:color="000000"/>
            </w:tcBorders>
          </w:tcPr>
          <w:p w:rsidR="001C682A" w:rsidRDefault="00B03C38">
            <w:pPr>
              <w:spacing w:after="0" w:line="259" w:lineRule="auto"/>
              <w:ind w:left="21" w:firstLine="0"/>
              <w:jc w:val="left"/>
            </w:pPr>
            <w:r>
              <w:rPr>
                <w:rFonts w:ascii="Times New Roman" w:eastAsia="Times New Roman" w:hAnsi="Times New Roman" w:cs="Times New Roman"/>
                <w:b/>
                <w:sz w:val="13"/>
              </w:rPr>
              <w:t>Unfunded Deficit</w:t>
            </w:r>
          </w:p>
        </w:tc>
        <w:tc>
          <w:tcPr>
            <w:tcW w:w="1207" w:type="dxa"/>
            <w:tcBorders>
              <w:top w:val="single" w:sz="3" w:space="0" w:color="0000D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07" w:type="dxa"/>
            <w:tcBorders>
              <w:top w:val="single" w:sz="3" w:space="0" w:color="0000D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54" w:type="dxa"/>
            <w:tcBorders>
              <w:top w:val="single" w:sz="3" w:space="0" w:color="0000D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55" w:type="dxa"/>
            <w:tcBorders>
              <w:top w:val="single" w:sz="3" w:space="0" w:color="0000D0"/>
              <w:left w:val="single" w:sz="2" w:space="0" w:color="000000"/>
              <w:bottom w:val="single" w:sz="3" w:space="0" w:color="000000"/>
              <w:right w:val="single" w:sz="2" w:space="0" w:color="000000"/>
            </w:tcBorders>
          </w:tcPr>
          <w:p w:rsidR="001C682A" w:rsidRDefault="00B03C38">
            <w:pPr>
              <w:spacing w:after="0" w:line="259" w:lineRule="auto"/>
              <w:ind w:left="0" w:right="85" w:firstLine="0"/>
              <w:jc w:val="right"/>
            </w:pPr>
            <w:r>
              <w:rPr>
                <w:rFonts w:ascii="Times New Roman" w:eastAsia="Times New Roman" w:hAnsi="Times New Roman" w:cs="Times New Roman"/>
                <w:sz w:val="13"/>
              </w:rPr>
              <w:t>-</w:t>
            </w:r>
          </w:p>
        </w:tc>
        <w:tc>
          <w:tcPr>
            <w:tcW w:w="70" w:type="dxa"/>
            <w:tcBorders>
              <w:top w:val="single" w:sz="3" w:space="0" w:color="0000D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D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385</w:t>
            </w:r>
          </w:p>
        </w:tc>
      </w:tr>
      <w:tr w:rsidR="001C682A">
        <w:trPr>
          <w:trHeight w:val="170"/>
        </w:trPr>
        <w:tc>
          <w:tcPr>
            <w:tcW w:w="309"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386</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74" w:firstLine="0"/>
              <w:jc w:val="left"/>
            </w:pPr>
            <w:r>
              <w:rPr>
                <w:rFonts w:ascii="Times New Roman" w:eastAsia="Times New Roman" w:hAnsi="Times New Roman" w:cs="Times New Roman"/>
                <w:sz w:val="13"/>
              </w:rPr>
              <w:t xml:space="preserve">                                -</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74" w:firstLine="0"/>
              <w:jc w:val="left"/>
            </w:pPr>
            <w:r>
              <w:rPr>
                <w:rFonts w:ascii="Times New Roman" w:eastAsia="Times New Roman" w:hAnsi="Times New Roman" w:cs="Times New Roman"/>
                <w:sz w:val="13"/>
              </w:rPr>
              <w:t xml:space="preserve">                                -</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2" w:firstLine="0"/>
              <w:jc w:val="left"/>
            </w:pPr>
            <w:r>
              <w:rPr>
                <w:rFonts w:ascii="Times New Roman" w:eastAsia="Times New Roman" w:hAnsi="Times New Roman" w:cs="Times New Roman"/>
                <w:sz w:val="13"/>
              </w:rPr>
              <w:t xml:space="preserve">                                  -</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62" w:firstLine="0"/>
              <w:jc w:val="left"/>
            </w:pPr>
            <w:r>
              <w:rPr>
                <w:rFonts w:ascii="Times New Roman" w:eastAsia="Times New Roman" w:hAnsi="Times New Roman" w:cs="Times New Roman"/>
                <w:sz w:val="13"/>
              </w:rPr>
              <w:t xml:space="preserve">                                  -</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386</w:t>
            </w:r>
          </w:p>
        </w:tc>
      </w:tr>
      <w:tr w:rsidR="001C682A">
        <w:trPr>
          <w:trHeight w:val="197"/>
        </w:trPr>
        <w:tc>
          <w:tcPr>
            <w:tcW w:w="309"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387</w:t>
            </w:r>
          </w:p>
        </w:tc>
        <w:tc>
          <w:tcPr>
            <w:tcW w:w="3987" w:type="dxa"/>
            <w:gridSpan w:val="2"/>
            <w:tcBorders>
              <w:top w:val="single" w:sz="3" w:space="0" w:color="000000"/>
              <w:left w:val="single" w:sz="2" w:space="0" w:color="000000"/>
              <w:bottom w:val="single" w:sz="3" w:space="0" w:color="000000"/>
              <w:right w:val="single" w:sz="2" w:space="0" w:color="000000"/>
            </w:tcBorders>
            <w:shd w:val="clear" w:color="auto" w:fill="000000"/>
          </w:tcPr>
          <w:p w:rsidR="001C682A" w:rsidRDefault="00B03C38">
            <w:pPr>
              <w:spacing w:after="0" w:line="259" w:lineRule="auto"/>
              <w:ind w:left="21" w:firstLine="0"/>
              <w:jc w:val="left"/>
            </w:pPr>
            <w:r>
              <w:rPr>
                <w:rFonts w:ascii="Times New Roman" w:eastAsia="Times New Roman" w:hAnsi="Times New Roman" w:cs="Times New Roman"/>
                <w:b/>
                <w:color w:val="FFFFFF"/>
                <w:sz w:val="13"/>
              </w:rPr>
              <w:t>MEMORANDUM ITEMS</w:t>
            </w:r>
          </w:p>
        </w:tc>
        <w:tc>
          <w:tcPr>
            <w:tcW w:w="1207" w:type="dxa"/>
            <w:tcBorders>
              <w:top w:val="single" w:sz="3" w:space="0" w:color="000000"/>
              <w:left w:val="single" w:sz="2" w:space="0" w:color="000000"/>
              <w:bottom w:val="single" w:sz="3" w:space="0" w:color="000000"/>
              <w:right w:val="single" w:sz="2" w:space="0" w:color="000000"/>
            </w:tcBorders>
            <w:shd w:val="clear" w:color="auto" w:fill="000000"/>
          </w:tcPr>
          <w:p w:rsidR="001C682A" w:rsidRDefault="001C682A">
            <w:pPr>
              <w:spacing w:after="160" w:line="259" w:lineRule="auto"/>
              <w:ind w:left="0" w:firstLine="0"/>
              <w:jc w:val="left"/>
            </w:pPr>
          </w:p>
        </w:tc>
        <w:tc>
          <w:tcPr>
            <w:tcW w:w="1207" w:type="dxa"/>
            <w:tcBorders>
              <w:top w:val="single" w:sz="3" w:space="0" w:color="000000"/>
              <w:left w:val="single" w:sz="2" w:space="0" w:color="000000"/>
              <w:bottom w:val="single" w:sz="3" w:space="0" w:color="000000"/>
              <w:right w:val="single" w:sz="2" w:space="0" w:color="000000"/>
            </w:tcBorders>
            <w:shd w:val="clear" w:color="auto" w:fill="000000"/>
          </w:tcPr>
          <w:p w:rsidR="001C682A" w:rsidRDefault="001C682A">
            <w:pPr>
              <w:spacing w:after="160" w:line="259" w:lineRule="auto"/>
              <w:ind w:left="0" w:firstLine="0"/>
              <w:jc w:val="left"/>
            </w:pPr>
          </w:p>
        </w:tc>
        <w:tc>
          <w:tcPr>
            <w:tcW w:w="1254" w:type="dxa"/>
            <w:tcBorders>
              <w:top w:val="single" w:sz="3" w:space="0" w:color="000000"/>
              <w:left w:val="single" w:sz="2" w:space="0" w:color="000000"/>
              <w:bottom w:val="single" w:sz="3" w:space="0" w:color="000000"/>
              <w:right w:val="single" w:sz="2" w:space="0" w:color="000000"/>
            </w:tcBorders>
            <w:shd w:val="clear" w:color="auto" w:fill="000000"/>
          </w:tcPr>
          <w:p w:rsidR="001C682A" w:rsidRDefault="001C682A">
            <w:pPr>
              <w:spacing w:after="160" w:line="259" w:lineRule="auto"/>
              <w:ind w:left="0" w:firstLine="0"/>
              <w:jc w:val="left"/>
            </w:pPr>
          </w:p>
        </w:tc>
        <w:tc>
          <w:tcPr>
            <w:tcW w:w="1255" w:type="dxa"/>
            <w:tcBorders>
              <w:top w:val="single" w:sz="3" w:space="0" w:color="000000"/>
              <w:left w:val="single" w:sz="2" w:space="0" w:color="000000"/>
              <w:bottom w:val="single" w:sz="3" w:space="0" w:color="000000"/>
              <w:right w:val="single" w:sz="2" w:space="0" w:color="000000"/>
            </w:tcBorders>
            <w:shd w:val="clear" w:color="auto" w:fill="000000"/>
          </w:tcPr>
          <w:p w:rsidR="001C682A" w:rsidRDefault="001C682A">
            <w:pPr>
              <w:spacing w:after="160" w:line="259" w:lineRule="auto"/>
              <w:ind w:left="0" w:firstLine="0"/>
              <w:jc w:val="left"/>
            </w:pP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387</w:t>
            </w:r>
          </w:p>
        </w:tc>
      </w:tr>
      <w:tr w:rsidR="001C682A">
        <w:trPr>
          <w:trHeight w:val="230"/>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388</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1" w:firstLine="0"/>
              <w:jc w:val="left"/>
            </w:pPr>
            <w:r>
              <w:rPr>
                <w:rFonts w:ascii="Times New Roman" w:eastAsia="Times New Roman" w:hAnsi="Times New Roman" w:cs="Times New Roman"/>
                <w:b/>
                <w:sz w:val="13"/>
              </w:rPr>
              <w:t>SPECIAL TRANSFERS FOR TARGETED AGENCIES NET OF COSTS</w:t>
            </w:r>
          </w:p>
        </w:tc>
        <w:tc>
          <w:tcPr>
            <w:tcW w:w="120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0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54"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5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388</w:t>
            </w:r>
          </w:p>
        </w:tc>
      </w:tr>
      <w:tr w:rsidR="001C682A">
        <w:trPr>
          <w:trHeight w:val="197"/>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389</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1" w:firstLine="0"/>
              <w:jc w:val="left"/>
            </w:pPr>
            <w:r>
              <w:rPr>
                <w:rFonts w:ascii="Times New Roman" w:eastAsia="Times New Roman" w:hAnsi="Times New Roman" w:cs="Times New Roman"/>
                <w:b/>
                <w:sz w:val="13"/>
              </w:rPr>
              <w:t>Education Tax Net of Cost of Collection</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272,281,613,975</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317,752,643,509</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370,817,334,975</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b/>
                <w:sz w:val="13"/>
              </w:rPr>
              <w:t>459,240,636,401</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389</w:t>
            </w:r>
          </w:p>
        </w:tc>
      </w:tr>
      <w:tr w:rsidR="001C682A">
        <w:trPr>
          <w:trHeight w:val="170"/>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390</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1" w:firstLine="0"/>
              <w:jc w:val="left"/>
            </w:pPr>
            <w:r>
              <w:rPr>
                <w:rFonts w:ascii="Times New Roman" w:eastAsia="Times New Roman" w:hAnsi="Times New Roman" w:cs="Times New Roman"/>
                <w:b/>
                <w:sz w:val="13"/>
              </w:rPr>
              <w:t xml:space="preserve">Transfer </w:t>
            </w:r>
            <w:proofErr w:type="gramStart"/>
            <w:r>
              <w:rPr>
                <w:rFonts w:ascii="Times New Roman" w:eastAsia="Times New Roman" w:hAnsi="Times New Roman" w:cs="Times New Roman"/>
                <w:b/>
                <w:sz w:val="13"/>
              </w:rPr>
              <w:t>of  Levies</w:t>
            </w:r>
            <w:proofErr w:type="gramEnd"/>
            <w:r>
              <w:rPr>
                <w:rFonts w:ascii="Times New Roman" w:eastAsia="Times New Roman" w:hAnsi="Times New Roman" w:cs="Times New Roman"/>
                <w:b/>
                <w:sz w:val="13"/>
              </w:rPr>
              <w:t xml:space="preserve"> Acct to CBN for Beneficiaries Net of Cost of Coll:</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223,994,037,829</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197,996,107,731</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224,697,575,110</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b/>
                <w:sz w:val="13"/>
              </w:rPr>
              <w:t>231,845,711,701</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390</w:t>
            </w:r>
          </w:p>
        </w:tc>
      </w:tr>
      <w:tr w:rsidR="001C682A">
        <w:trPr>
          <w:trHeight w:val="184"/>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391</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 xml:space="preserve">7% Port </w:t>
            </w:r>
            <w:proofErr w:type="spellStart"/>
            <w:r>
              <w:rPr>
                <w:rFonts w:ascii="Times New Roman" w:eastAsia="Times New Roman" w:hAnsi="Times New Roman" w:cs="Times New Roman"/>
                <w:sz w:val="13"/>
              </w:rPr>
              <w:t>Devt</w:t>
            </w:r>
            <w:proofErr w:type="spellEnd"/>
            <w:r>
              <w:rPr>
                <w:rFonts w:ascii="Times New Roman" w:eastAsia="Times New Roman" w:hAnsi="Times New Roman" w:cs="Times New Roman"/>
                <w:sz w:val="13"/>
              </w:rPr>
              <w:t>. Levy - NPA, Raw Materials, Shippers, NEXIM</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67,381,122,994</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59,560,514,274</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67,592,758,681</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sz w:val="13"/>
              </w:rPr>
              <w:t>69,743,036,767</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391</w:t>
            </w:r>
          </w:p>
        </w:tc>
      </w:tr>
      <w:tr w:rsidR="001C682A">
        <w:trPr>
          <w:trHeight w:val="197"/>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392</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 xml:space="preserve">5% Sugar </w:t>
            </w:r>
            <w:proofErr w:type="gramStart"/>
            <w:r>
              <w:rPr>
                <w:rFonts w:ascii="Times New Roman" w:eastAsia="Times New Roman" w:hAnsi="Times New Roman" w:cs="Times New Roman"/>
                <w:sz w:val="13"/>
              </w:rPr>
              <w:t>Levy :</w:t>
            </w:r>
            <w:proofErr w:type="gramEnd"/>
            <w:r>
              <w:rPr>
                <w:rFonts w:ascii="Times New Roman" w:eastAsia="Times New Roman" w:hAnsi="Times New Roman" w:cs="Times New Roman"/>
                <w:sz w:val="13"/>
              </w:rPr>
              <w:t xml:space="preserve"> Nat. Sugar </w:t>
            </w:r>
            <w:proofErr w:type="spellStart"/>
            <w:r>
              <w:rPr>
                <w:rFonts w:ascii="Times New Roman" w:eastAsia="Times New Roman" w:hAnsi="Times New Roman" w:cs="Times New Roman"/>
                <w:sz w:val="13"/>
              </w:rPr>
              <w:t>Devt</w:t>
            </w:r>
            <w:proofErr w:type="spellEnd"/>
            <w:r>
              <w:rPr>
                <w:rFonts w:ascii="Times New Roman" w:eastAsia="Times New Roman" w:hAnsi="Times New Roman" w:cs="Times New Roman"/>
                <w:sz w:val="13"/>
              </w:rPr>
              <w:t>. Council</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11,427,941,723</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10,101,554,499</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11,463,835,460</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sz w:val="13"/>
              </w:rPr>
              <w:t>11,828,525,919</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392</w:t>
            </w:r>
          </w:p>
        </w:tc>
      </w:tr>
      <w:tr w:rsidR="001C682A">
        <w:trPr>
          <w:trHeight w:val="203"/>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393</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1% Com. Import Sup. Scheme (CISS): Service Providers</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88,633,874,984</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78,346,559,712</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88,912,262,909</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sz w:val="13"/>
              </w:rPr>
              <w:t>91,740,762,503</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393</w:t>
            </w:r>
          </w:p>
        </w:tc>
      </w:tr>
      <w:tr w:rsidR="001C682A">
        <w:trPr>
          <w:trHeight w:val="197"/>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394</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0.50% Ecowas Trade Lib Sch. (ETLS): ECOWAS Sec.</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46,360,515,483</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40,979,669,401</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46,506,128,069</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sz w:val="13"/>
              </w:rPr>
              <w:t>47,985,592,881</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394</w:t>
            </w:r>
          </w:p>
        </w:tc>
      </w:tr>
      <w:tr w:rsidR="001C682A">
        <w:trPr>
          <w:trHeight w:val="170"/>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lastRenderedPageBreak/>
              <w:t>395</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Cement Levy</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980,383,722</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866,595,213</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983,462,985</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sz w:val="13"/>
              </w:rPr>
              <w:t>1,014,749,160</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395</w:t>
            </w:r>
          </w:p>
        </w:tc>
      </w:tr>
      <w:tr w:rsidR="001C682A">
        <w:trPr>
          <w:trHeight w:val="171"/>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396</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10% Steel</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918,815,779</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812,173,171</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921,701,665</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sz w:val="13"/>
              </w:rPr>
              <w:t>951,023,073</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396</w:t>
            </w:r>
          </w:p>
        </w:tc>
      </w:tr>
      <w:tr w:rsidR="001C682A">
        <w:trPr>
          <w:trHeight w:val="197"/>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397</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 xml:space="preserve">35% Nat. </w:t>
            </w:r>
            <w:proofErr w:type="spellStart"/>
            <w:r>
              <w:rPr>
                <w:rFonts w:ascii="Times New Roman" w:eastAsia="Times New Roman" w:hAnsi="Times New Roman" w:cs="Times New Roman"/>
                <w:sz w:val="13"/>
              </w:rPr>
              <w:t>Automative</w:t>
            </w:r>
            <w:proofErr w:type="spellEnd"/>
            <w:r>
              <w:rPr>
                <w:rFonts w:ascii="Times New Roman" w:eastAsia="Times New Roman" w:hAnsi="Times New Roman" w:cs="Times New Roman"/>
                <w:sz w:val="13"/>
              </w:rPr>
              <w:t xml:space="preserve"> Council</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5,817,268,303</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5,142,085,444</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5,835,539,615</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sz w:val="13"/>
              </w:rPr>
              <w:t>6,021,181,290</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397</w:t>
            </w:r>
          </w:p>
        </w:tc>
      </w:tr>
      <w:tr w:rsidR="001C682A">
        <w:trPr>
          <w:trHeight w:val="197"/>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398</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1% Nigerian Export Supervision Scheme (NESS)</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2,474,114,840</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2,186,956,015</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2,481,885,726</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sz w:val="13"/>
              </w:rPr>
              <w:t>2,560,840,108</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398</w:t>
            </w:r>
          </w:p>
        </w:tc>
      </w:tr>
      <w:tr w:rsidR="001C682A">
        <w:trPr>
          <w:trHeight w:val="197"/>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399</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1" w:firstLine="0"/>
              <w:jc w:val="left"/>
            </w:pPr>
            <w:r>
              <w:rPr>
                <w:rFonts w:ascii="Times New Roman" w:eastAsia="Times New Roman" w:hAnsi="Times New Roman" w:cs="Times New Roman"/>
                <w:b/>
                <w:sz w:val="13"/>
              </w:rPr>
              <w:t xml:space="preserve">Transfer of Nat. Information Tech. </w:t>
            </w:r>
            <w:proofErr w:type="spellStart"/>
            <w:r>
              <w:rPr>
                <w:rFonts w:ascii="Times New Roman" w:eastAsia="Times New Roman" w:hAnsi="Times New Roman" w:cs="Times New Roman"/>
                <w:b/>
                <w:sz w:val="13"/>
              </w:rPr>
              <w:t>Devt</w:t>
            </w:r>
            <w:proofErr w:type="spellEnd"/>
            <w:r>
              <w:rPr>
                <w:rFonts w:ascii="Times New Roman" w:eastAsia="Times New Roman" w:hAnsi="Times New Roman" w:cs="Times New Roman"/>
                <w:b/>
                <w:sz w:val="13"/>
              </w:rPr>
              <w:t>. Fund Net of Cost of Collection</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15,498,315,859</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18,086,534,607</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21,106,985,886</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b/>
                <w:sz w:val="13"/>
              </w:rPr>
              <w:t>21,797,559,351</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399</w:t>
            </w:r>
          </w:p>
        </w:tc>
      </w:tr>
      <w:tr w:rsidR="001C682A">
        <w:trPr>
          <w:trHeight w:val="197"/>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400</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1" w:firstLine="0"/>
              <w:jc w:val="left"/>
            </w:pPr>
            <w:r>
              <w:rPr>
                <w:rFonts w:ascii="Times New Roman" w:eastAsia="Times New Roman" w:hAnsi="Times New Roman" w:cs="Times New Roman"/>
                <w:b/>
                <w:sz w:val="13"/>
              </w:rPr>
              <w:t>Transfer to North East Development Commission</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89,720,691,992</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89,078,302,354</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98,726,467,520</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b/>
                <w:sz w:val="13"/>
              </w:rPr>
              <w:t>67,002,930,285</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400</w:t>
            </w:r>
          </w:p>
        </w:tc>
      </w:tr>
      <w:tr w:rsidR="001C682A">
        <w:trPr>
          <w:trHeight w:val="197"/>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401</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3% VAT Net Cost of Collection</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63,089,729,254</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52,944,388,058</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56,399,407,370</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sz w:val="13"/>
              </w:rPr>
              <w:t>58,416,649,017</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401</w:t>
            </w:r>
          </w:p>
        </w:tc>
      </w:tr>
      <w:tr w:rsidR="001C682A">
        <w:trPr>
          <w:trHeight w:val="197"/>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402</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FGN's Contribution (10% of North East States' Share of FAAC)</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21,761,560,225</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29,459,250,140</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34,508,396,805</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5" w:firstLine="0"/>
              <w:jc w:val="right"/>
            </w:pPr>
            <w:r>
              <w:rPr>
                <w:rFonts w:ascii="Times New Roman" w:eastAsia="Times New Roman" w:hAnsi="Times New Roman" w:cs="Times New Roman"/>
                <w:sz w:val="13"/>
              </w:rPr>
              <w:t>-</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402</w:t>
            </w:r>
          </w:p>
        </w:tc>
      </w:tr>
      <w:tr w:rsidR="001C682A">
        <w:trPr>
          <w:trHeight w:val="197"/>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403</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10% of Ecology and Derivation transferred to NEDC</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4,869,402,514</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6,674,664,156</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7,818,663,345</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sz w:val="13"/>
              </w:rPr>
              <w:t>8,586,281,268</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403</w:t>
            </w:r>
          </w:p>
        </w:tc>
      </w:tr>
      <w:tr w:rsidR="001C682A">
        <w:trPr>
          <w:trHeight w:val="197"/>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404</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1" w:firstLine="0"/>
              <w:jc w:val="left"/>
            </w:pPr>
            <w:r>
              <w:rPr>
                <w:rFonts w:ascii="Times New Roman" w:eastAsia="Times New Roman" w:hAnsi="Times New Roman" w:cs="Times New Roman"/>
                <w:b/>
                <w:sz w:val="13"/>
              </w:rPr>
              <w:t>Total Transfers to Nigeria Police Trust Fund</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35,278,961,992</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42,651,472,788</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49,030,051,821</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b/>
                <w:sz w:val="13"/>
              </w:rPr>
              <w:t>53,225,959,238</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171"/>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405</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0.5% Federation Account Transfer to Nigeria Police Trust Fund</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34,984,314,243</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42,405,327,478</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48,719,844,450</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sz w:val="13"/>
              </w:rPr>
              <w:t>52,905,883,471</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405</w:t>
            </w:r>
          </w:p>
        </w:tc>
      </w:tr>
      <w:tr w:rsidR="001C682A">
        <w:trPr>
          <w:trHeight w:val="170"/>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406</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0.005% of Net Companies Profit Transfer to Nigeria Police Trust Fund</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294,647,749</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246,145,310</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310,207,371</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sz w:val="13"/>
              </w:rPr>
              <w:t>320,075,767</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197"/>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407</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1" w:firstLine="0"/>
              <w:jc w:val="left"/>
            </w:pPr>
            <w:r>
              <w:rPr>
                <w:rFonts w:ascii="Times New Roman" w:eastAsia="Times New Roman" w:hAnsi="Times New Roman" w:cs="Times New Roman"/>
                <w:b/>
                <w:sz w:val="13"/>
              </w:rPr>
              <w:t>Grants &amp; Aids for Technical/Donor Assistance</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42,703,200,000</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337,063,214,232</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269,962,377,192</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b/>
                <w:sz w:val="13"/>
              </w:rPr>
              <w:t>243,219,957,192</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407</w:t>
            </w:r>
          </w:p>
        </w:tc>
      </w:tr>
      <w:tr w:rsidR="001C682A">
        <w:trPr>
          <w:trHeight w:val="197"/>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408</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1" w:firstLine="0"/>
              <w:jc w:val="left"/>
            </w:pPr>
            <w:r>
              <w:rPr>
                <w:rFonts w:ascii="Times New Roman" w:eastAsia="Times New Roman" w:hAnsi="Times New Roman" w:cs="Times New Roman"/>
                <w:b/>
                <w:sz w:val="13"/>
              </w:rPr>
              <w:t>NNPC's Share of Incremental JV Funding</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172,062,243,955</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203,881,857,925</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b/>
                <w:sz w:val="13"/>
              </w:rPr>
              <w:t>-</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5" w:firstLine="0"/>
              <w:jc w:val="right"/>
            </w:pPr>
            <w:r>
              <w:rPr>
                <w:rFonts w:ascii="Times New Roman" w:eastAsia="Times New Roman" w:hAnsi="Times New Roman" w:cs="Times New Roman"/>
                <w:b/>
                <w:sz w:val="13"/>
              </w:rPr>
              <w:t>-</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408</w:t>
            </w:r>
          </w:p>
        </w:tc>
      </w:tr>
      <w:tr w:rsidR="001C682A">
        <w:trPr>
          <w:trHeight w:val="197"/>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409</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Govt Equity Share of Alternative Funded JV Projects</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172,062,243,955</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203,881,857,925</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5" w:firstLine="0"/>
              <w:jc w:val="right"/>
            </w:pPr>
            <w:r>
              <w:rPr>
                <w:rFonts w:ascii="Times New Roman" w:eastAsia="Times New Roman" w:hAnsi="Times New Roman" w:cs="Times New Roman"/>
                <w:sz w:val="13"/>
              </w:rPr>
              <w:t>-</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409</w:t>
            </w:r>
          </w:p>
        </w:tc>
      </w:tr>
      <w:tr w:rsidR="001C682A">
        <w:trPr>
          <w:trHeight w:val="197"/>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410</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Gas Infrastructure Dev. (US$120 million) (Alt. Funding)</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5" w:firstLine="0"/>
              <w:jc w:val="right"/>
            </w:pPr>
            <w:r>
              <w:rPr>
                <w:rFonts w:ascii="Times New Roman" w:eastAsia="Times New Roman" w:hAnsi="Times New Roman" w:cs="Times New Roman"/>
                <w:sz w:val="13"/>
              </w:rPr>
              <w:t>-</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410</w:t>
            </w:r>
          </w:p>
        </w:tc>
      </w:tr>
      <w:tr w:rsidR="001C682A">
        <w:trPr>
          <w:trHeight w:val="197"/>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411</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1" w:firstLine="0"/>
              <w:jc w:val="left"/>
            </w:pPr>
            <w:r>
              <w:rPr>
                <w:rFonts w:ascii="Times New Roman" w:eastAsia="Times New Roman" w:hAnsi="Times New Roman" w:cs="Times New Roman"/>
                <w:b/>
                <w:sz w:val="13"/>
              </w:rPr>
              <w:t>Transfer to NLNG Special Account</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80,377,200,000</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198,086,400,000</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164,484,000,000</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sz w:val="13"/>
              </w:rPr>
              <w:t>169,516,800,000</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243"/>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417</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1" w:firstLine="0"/>
              <w:jc w:val="left"/>
            </w:pPr>
            <w:r>
              <w:rPr>
                <w:rFonts w:ascii="Times New Roman" w:eastAsia="Times New Roman" w:hAnsi="Times New Roman" w:cs="Times New Roman"/>
                <w:b/>
                <w:sz w:val="13"/>
              </w:rPr>
              <w:t xml:space="preserve">Transfer to FIRS &amp; NCS for Costs of Collection, NDDC Share of ECA </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332,739,433,623</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330,283,089,712</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379,395,947,174</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b/>
                <w:sz w:val="13"/>
              </w:rPr>
              <w:t>397,243,532,433</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417</w:t>
            </w:r>
          </w:p>
        </w:tc>
      </w:tr>
      <w:tr w:rsidR="001C682A">
        <w:trPr>
          <w:trHeight w:val="177"/>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418</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1" w:firstLine="0"/>
              <w:jc w:val="left"/>
            </w:pPr>
            <w:r>
              <w:rPr>
                <w:rFonts w:ascii="Times New Roman" w:eastAsia="Times New Roman" w:hAnsi="Times New Roman" w:cs="Times New Roman"/>
                <w:b/>
                <w:sz w:val="13"/>
              </w:rPr>
              <w:t>FIRS</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188,958,277,675</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163,683,943,126</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185,112,364,498</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b/>
                <w:sz w:val="13"/>
              </w:rPr>
              <w:t>191,883,148,255</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418</w:t>
            </w:r>
          </w:p>
        </w:tc>
      </w:tr>
      <w:tr w:rsidR="001C682A">
        <w:trPr>
          <w:trHeight w:val="170"/>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419</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FIRS Tax Refunds</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25,000,000,000</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25,000,000,000</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25,000,000,000</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sz w:val="13"/>
              </w:rPr>
              <w:t>25,000,000,000</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419</w:t>
            </w:r>
          </w:p>
        </w:tc>
      </w:tr>
      <w:tr w:rsidR="001C682A">
        <w:trPr>
          <w:trHeight w:val="171"/>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420</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4% Cost of Collection (CIT, Stamp Duties, etc)</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70,944,706,519</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58,861,169,449</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74,440,706,359</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sz w:val="13"/>
              </w:rPr>
              <w:t>76,840,645,358</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420</w:t>
            </w:r>
          </w:p>
        </w:tc>
      </w:tr>
      <w:tr w:rsidR="001C682A">
        <w:trPr>
          <w:trHeight w:val="170"/>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421</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4% Cost of Collection (VAT)</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87,624,623,963</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73,533,872,303</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78,332,510,236</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sz w:val="13"/>
              </w:rPr>
              <w:t>81,134,234,745</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421</w:t>
            </w:r>
          </w:p>
        </w:tc>
      </w:tr>
      <w:tr w:rsidR="001C682A">
        <w:trPr>
          <w:trHeight w:val="170"/>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422</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4% Cost of Collection (Amnesty Tax Income)</w:t>
            </w:r>
          </w:p>
        </w:tc>
        <w:tc>
          <w:tcPr>
            <w:tcW w:w="120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0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54"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5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171"/>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423</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4% Cost of Collection (Education Tax &amp; NITDF)</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5,388,947,193</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6,288,901,374</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7,339,147,903</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sz w:val="13"/>
              </w:rPr>
              <w:t>8,908,268,152</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423</w:t>
            </w:r>
          </w:p>
        </w:tc>
      </w:tr>
      <w:tr w:rsidR="001C682A">
        <w:trPr>
          <w:trHeight w:val="170"/>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424</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1" w:firstLine="0"/>
              <w:jc w:val="left"/>
            </w:pPr>
            <w:r>
              <w:rPr>
                <w:rFonts w:ascii="Times New Roman" w:eastAsia="Times New Roman" w:hAnsi="Times New Roman" w:cs="Times New Roman"/>
                <w:b/>
                <w:sz w:val="13"/>
              </w:rPr>
              <w:t>NCS</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97,833,758,382</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103,617,405,659</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120,507,132,256</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b/>
                <w:sz w:val="13"/>
              </w:rPr>
              <w:t>124,340,735,895</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424</w:t>
            </w:r>
          </w:p>
        </w:tc>
      </w:tr>
      <w:tr w:rsidR="001C682A">
        <w:trPr>
          <w:trHeight w:val="170"/>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425</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7% Cost of Collection (Duty, Excise &amp; Fees)</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70,296,750,657</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79,276,488,369</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92,883,634,231</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sz w:val="13"/>
              </w:rPr>
              <w:t>95,838,472,102</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425</w:t>
            </w:r>
          </w:p>
        </w:tc>
      </w:tr>
      <w:tr w:rsidR="001C682A">
        <w:trPr>
          <w:trHeight w:val="171"/>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426</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7% Cost of Collection (Spec. Levies -Fed. Acct.)</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10,677,241,437</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9,437,984,450</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10,710,777,318</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sz w:val="13"/>
              </w:rPr>
              <w:t>11,051,511,299</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426</w:t>
            </w:r>
          </w:p>
        </w:tc>
      </w:tr>
      <w:tr w:rsidR="001C682A">
        <w:trPr>
          <w:trHeight w:val="170"/>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427</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7% Cost of Coll. (Spec. Levies - Non-Fed. Acct.)</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16,859,766,288</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14,902,932,840</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16,912,720,707</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sz w:val="13"/>
              </w:rPr>
              <w:t>17,450,752,494</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427</w:t>
            </w:r>
          </w:p>
        </w:tc>
      </w:tr>
      <w:tr w:rsidR="001C682A">
        <w:trPr>
          <w:trHeight w:val="171"/>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428</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Additional Funding from CISS Account</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5" w:firstLine="0"/>
              <w:jc w:val="right"/>
            </w:pPr>
            <w:r>
              <w:rPr>
                <w:rFonts w:ascii="Times New Roman" w:eastAsia="Times New Roman" w:hAnsi="Times New Roman" w:cs="Times New Roman"/>
                <w:sz w:val="13"/>
              </w:rPr>
              <w:t>-</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428</w:t>
            </w:r>
          </w:p>
        </w:tc>
      </w:tr>
      <w:tr w:rsidR="001C682A">
        <w:trPr>
          <w:trHeight w:val="170"/>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429</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1" w:firstLine="0"/>
              <w:jc w:val="left"/>
            </w:pPr>
            <w:r>
              <w:rPr>
                <w:rFonts w:ascii="Times New Roman" w:eastAsia="Times New Roman" w:hAnsi="Times New Roman" w:cs="Times New Roman"/>
                <w:b/>
                <w:sz w:val="13"/>
              </w:rPr>
              <w:t>NDDC</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45,947,397,566</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62,981,740,926</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b/>
                <w:sz w:val="13"/>
              </w:rPr>
              <w:t>73,776,450,420</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b/>
                <w:sz w:val="13"/>
              </w:rPr>
              <w:t>81,019,648,283</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429</w:t>
            </w:r>
          </w:p>
        </w:tc>
      </w:tr>
      <w:tr w:rsidR="001C682A">
        <w:trPr>
          <w:trHeight w:val="170"/>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lastRenderedPageBreak/>
              <w:t>430</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15% NDDC States Share of Federation Account</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45,947,397,566</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62,981,740,926</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73,776,450,420</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sz w:val="13"/>
              </w:rPr>
              <w:t>81,019,648,283</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430</w:t>
            </w:r>
          </w:p>
        </w:tc>
      </w:tr>
      <w:tr w:rsidR="001C682A">
        <w:trPr>
          <w:trHeight w:val="171"/>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432</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1" w:firstLine="0"/>
              <w:jc w:val="left"/>
            </w:pPr>
            <w:r>
              <w:rPr>
                <w:rFonts w:ascii="Times New Roman" w:eastAsia="Times New Roman" w:hAnsi="Times New Roman" w:cs="Times New Roman"/>
                <w:b/>
                <w:sz w:val="13"/>
              </w:rPr>
              <w:t>UBEC</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b/>
                <w:sz w:val="13"/>
              </w:rPr>
              <w:t>-</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b/>
                <w:sz w:val="13"/>
              </w:rPr>
              <w:t>-</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b/>
                <w:sz w:val="13"/>
              </w:rPr>
              <w:t>-</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5" w:firstLine="0"/>
              <w:jc w:val="right"/>
            </w:pPr>
            <w:r>
              <w:rPr>
                <w:rFonts w:ascii="Times New Roman" w:eastAsia="Times New Roman" w:hAnsi="Times New Roman" w:cs="Times New Roman"/>
                <w:b/>
                <w:sz w:val="13"/>
              </w:rPr>
              <w:t>-</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432</w:t>
            </w:r>
          </w:p>
        </w:tc>
      </w:tr>
      <w:tr w:rsidR="001C682A">
        <w:trPr>
          <w:trHeight w:val="170"/>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433</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sz w:val="13"/>
              </w:rPr>
              <w:t>Universal Basic Education Commission (2% of CRF)</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5" w:firstLine="0"/>
              <w:jc w:val="right"/>
            </w:pPr>
            <w:r>
              <w:rPr>
                <w:rFonts w:ascii="Times New Roman" w:eastAsia="Times New Roman" w:hAnsi="Times New Roman" w:cs="Times New Roman"/>
                <w:sz w:val="13"/>
              </w:rPr>
              <w:t>-</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433</w:t>
            </w:r>
          </w:p>
        </w:tc>
      </w:tr>
      <w:tr w:rsidR="001C682A">
        <w:trPr>
          <w:trHeight w:val="170"/>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435</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1" w:firstLine="0"/>
            </w:pPr>
            <w:r>
              <w:rPr>
                <w:rFonts w:ascii="Times New Roman" w:eastAsia="Times New Roman" w:hAnsi="Times New Roman" w:cs="Times New Roman"/>
                <w:b/>
                <w:sz w:val="13"/>
              </w:rPr>
              <w:t>STATES AND LGCs SHARE OF FAAC, VAT POOL, SIGNATURE BONUS E</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tabs>
                <w:tab w:val="right" w:pos="1186"/>
              </w:tabs>
              <w:spacing w:after="0" w:line="259" w:lineRule="auto"/>
              <w:ind w:left="-24" w:firstLine="0"/>
              <w:jc w:val="left"/>
            </w:pPr>
            <w:r>
              <w:rPr>
                <w:rFonts w:ascii="Times New Roman" w:eastAsia="Times New Roman" w:hAnsi="Times New Roman" w:cs="Times New Roman"/>
                <w:b/>
                <w:sz w:val="13"/>
              </w:rPr>
              <w:t>T</w:t>
            </w:r>
            <w:r>
              <w:rPr>
                <w:rFonts w:ascii="Times New Roman" w:eastAsia="Times New Roman" w:hAnsi="Times New Roman" w:cs="Times New Roman"/>
                <w:b/>
                <w:sz w:val="13"/>
              </w:rPr>
              <w:tab/>
              <w:t>4,029,179,616,985</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62" w:firstLine="0"/>
              <w:jc w:val="left"/>
            </w:pPr>
            <w:r>
              <w:rPr>
                <w:rFonts w:ascii="Times New Roman" w:eastAsia="Times New Roman" w:hAnsi="Times New Roman" w:cs="Times New Roman"/>
                <w:b/>
                <w:sz w:val="13"/>
              </w:rPr>
              <w:t>4,606,038,888,874</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09" w:firstLine="0"/>
              <w:jc w:val="left"/>
            </w:pPr>
            <w:r>
              <w:rPr>
                <w:rFonts w:ascii="Times New Roman" w:eastAsia="Times New Roman" w:hAnsi="Times New Roman" w:cs="Times New Roman"/>
                <w:b/>
                <w:sz w:val="13"/>
              </w:rPr>
              <w:t>5,241,845,291,375</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09" w:firstLine="0"/>
              <w:jc w:val="left"/>
            </w:pPr>
            <w:r>
              <w:rPr>
                <w:rFonts w:ascii="Times New Roman" w:eastAsia="Times New Roman" w:hAnsi="Times New Roman" w:cs="Times New Roman"/>
                <w:b/>
                <w:sz w:val="13"/>
              </w:rPr>
              <w:t>5,660,236,841,204</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435</w:t>
            </w:r>
          </w:p>
        </w:tc>
      </w:tr>
      <w:tr w:rsidR="001C682A">
        <w:trPr>
          <w:trHeight w:val="171"/>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436</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b/>
                <w:sz w:val="13"/>
              </w:rPr>
              <w:t>STATES</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62" w:firstLine="0"/>
              <w:jc w:val="left"/>
            </w:pPr>
            <w:r>
              <w:rPr>
                <w:rFonts w:ascii="Times New Roman" w:eastAsia="Times New Roman" w:hAnsi="Times New Roman" w:cs="Times New Roman"/>
                <w:b/>
                <w:sz w:val="13"/>
              </w:rPr>
              <w:t>2,315,797,497,246</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62" w:firstLine="0"/>
              <w:jc w:val="left"/>
            </w:pPr>
            <w:r>
              <w:rPr>
                <w:rFonts w:ascii="Times New Roman" w:eastAsia="Times New Roman" w:hAnsi="Times New Roman" w:cs="Times New Roman"/>
                <w:b/>
                <w:sz w:val="13"/>
              </w:rPr>
              <w:t>2,634,992,503,807</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09" w:firstLine="0"/>
              <w:jc w:val="left"/>
            </w:pPr>
            <w:r>
              <w:rPr>
                <w:rFonts w:ascii="Times New Roman" w:eastAsia="Times New Roman" w:hAnsi="Times New Roman" w:cs="Times New Roman"/>
                <w:b/>
                <w:sz w:val="13"/>
              </w:rPr>
              <w:t>2,996,237,314,325</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09" w:firstLine="0"/>
              <w:jc w:val="left"/>
            </w:pPr>
            <w:r>
              <w:rPr>
                <w:rFonts w:ascii="Times New Roman" w:eastAsia="Times New Roman" w:hAnsi="Times New Roman" w:cs="Times New Roman"/>
                <w:b/>
                <w:sz w:val="13"/>
              </w:rPr>
              <w:t>3,233,788,793,155</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436</w:t>
            </w:r>
          </w:p>
        </w:tc>
      </w:tr>
      <w:tr w:rsidR="001C682A">
        <w:trPr>
          <w:trHeight w:val="170"/>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437</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97" w:firstLine="0"/>
              <w:jc w:val="left"/>
            </w:pPr>
            <w:r>
              <w:rPr>
                <w:rFonts w:ascii="Times New Roman" w:eastAsia="Times New Roman" w:hAnsi="Times New Roman" w:cs="Times New Roman"/>
                <w:sz w:val="13"/>
              </w:rPr>
              <w:t>States' Share of Federation Account</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62" w:firstLine="0"/>
              <w:jc w:val="left"/>
            </w:pPr>
            <w:r>
              <w:rPr>
                <w:rFonts w:ascii="Times New Roman" w:eastAsia="Times New Roman" w:hAnsi="Times New Roman" w:cs="Times New Roman"/>
                <w:sz w:val="13"/>
              </w:rPr>
              <w:t>1,301,104,351,749</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62" w:firstLine="0"/>
              <w:jc w:val="left"/>
            </w:pPr>
            <w:r>
              <w:rPr>
                <w:rFonts w:ascii="Times New Roman" w:eastAsia="Times New Roman" w:hAnsi="Times New Roman" w:cs="Times New Roman"/>
                <w:sz w:val="13"/>
              </w:rPr>
              <w:t>1,783,470,262,537</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09" w:firstLine="0"/>
              <w:jc w:val="left"/>
            </w:pPr>
            <w:r>
              <w:rPr>
                <w:rFonts w:ascii="Times New Roman" w:eastAsia="Times New Roman" w:hAnsi="Times New Roman" w:cs="Times New Roman"/>
                <w:sz w:val="13"/>
              </w:rPr>
              <w:t>2,089,146,845,792</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09" w:firstLine="0"/>
              <w:jc w:val="left"/>
            </w:pPr>
            <w:r>
              <w:rPr>
                <w:rFonts w:ascii="Times New Roman" w:eastAsia="Times New Roman" w:hAnsi="Times New Roman" w:cs="Times New Roman"/>
                <w:sz w:val="13"/>
              </w:rPr>
              <w:t>2,294,254,354,803</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437</w:t>
            </w:r>
          </w:p>
        </w:tc>
      </w:tr>
      <w:tr w:rsidR="001C682A">
        <w:trPr>
          <w:trHeight w:val="170"/>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438</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97" w:firstLine="0"/>
              <w:jc w:val="left"/>
            </w:pPr>
            <w:r>
              <w:rPr>
                <w:rFonts w:ascii="Times New Roman" w:eastAsia="Times New Roman" w:hAnsi="Times New Roman" w:cs="Times New Roman"/>
                <w:sz w:val="13"/>
              </w:rPr>
              <w:t>States' Share of VAT Pool Account</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62" w:firstLine="0"/>
              <w:jc w:val="left"/>
            </w:pPr>
            <w:r>
              <w:rPr>
                <w:rFonts w:ascii="Times New Roman" w:eastAsia="Times New Roman" w:hAnsi="Times New Roman" w:cs="Times New Roman"/>
                <w:sz w:val="13"/>
              </w:rPr>
              <w:t>1,014,693,145,497</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851,522,241,271</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907,090,468,533</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sz w:val="13"/>
              </w:rPr>
              <w:t>939,534,438,352</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438</w:t>
            </w:r>
          </w:p>
        </w:tc>
      </w:tr>
      <w:tr w:rsidR="001C682A">
        <w:trPr>
          <w:trHeight w:val="171"/>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439</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97" w:firstLine="0"/>
              <w:jc w:val="left"/>
            </w:pPr>
            <w:r>
              <w:rPr>
                <w:rFonts w:ascii="Times New Roman" w:eastAsia="Times New Roman" w:hAnsi="Times New Roman" w:cs="Times New Roman"/>
                <w:sz w:val="13"/>
              </w:rPr>
              <w:t>States' Share of Stabilisation (ECA)</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5" w:firstLine="0"/>
              <w:jc w:val="right"/>
            </w:pPr>
            <w:r>
              <w:rPr>
                <w:rFonts w:ascii="Times New Roman" w:eastAsia="Times New Roman" w:hAnsi="Times New Roman" w:cs="Times New Roman"/>
                <w:sz w:val="13"/>
              </w:rPr>
              <w:t>-</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439</w:t>
            </w:r>
          </w:p>
        </w:tc>
      </w:tr>
      <w:tr w:rsidR="001C682A">
        <w:trPr>
          <w:trHeight w:val="170"/>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440</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97" w:firstLine="0"/>
              <w:jc w:val="left"/>
            </w:pPr>
            <w:r>
              <w:rPr>
                <w:rFonts w:ascii="Times New Roman" w:eastAsia="Times New Roman" w:hAnsi="Times New Roman" w:cs="Times New Roman"/>
                <w:sz w:val="13"/>
              </w:rPr>
              <w:t>States' Share of Amnesty Tax Income</w:t>
            </w:r>
          </w:p>
        </w:tc>
        <w:tc>
          <w:tcPr>
            <w:tcW w:w="120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07"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54"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1255"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1C682A">
            <w:pPr>
              <w:spacing w:after="160" w:line="259" w:lineRule="auto"/>
              <w:ind w:left="0" w:firstLine="0"/>
              <w:jc w:val="left"/>
            </w:pPr>
          </w:p>
        </w:tc>
      </w:tr>
      <w:tr w:rsidR="001C682A">
        <w:trPr>
          <w:trHeight w:val="171"/>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441</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97" w:firstLine="0"/>
              <w:jc w:val="left"/>
            </w:pPr>
            <w:r>
              <w:rPr>
                <w:rFonts w:ascii="Times New Roman" w:eastAsia="Times New Roman" w:hAnsi="Times New Roman" w:cs="Times New Roman"/>
                <w:sz w:val="13"/>
              </w:rPr>
              <w:t xml:space="preserve">States' Share of Signature Bonus </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5" w:firstLine="0"/>
              <w:jc w:val="right"/>
            </w:pPr>
            <w:r>
              <w:rPr>
                <w:rFonts w:ascii="Times New Roman" w:eastAsia="Times New Roman" w:hAnsi="Times New Roman" w:cs="Times New Roman"/>
                <w:sz w:val="13"/>
              </w:rPr>
              <w:t>-</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441</w:t>
            </w:r>
          </w:p>
        </w:tc>
      </w:tr>
      <w:tr w:rsidR="001C682A">
        <w:trPr>
          <w:trHeight w:val="170"/>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442</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97" w:firstLine="0"/>
              <w:jc w:val="left"/>
            </w:pPr>
            <w:r>
              <w:rPr>
                <w:rFonts w:ascii="Times New Roman" w:eastAsia="Times New Roman" w:hAnsi="Times New Roman" w:cs="Times New Roman"/>
                <w:sz w:val="13"/>
              </w:rPr>
              <w:t xml:space="preserve">States' share of Proceeds from JV Assets </w:t>
            </w:r>
            <w:proofErr w:type="gramStart"/>
            <w:r>
              <w:rPr>
                <w:rFonts w:ascii="Times New Roman" w:eastAsia="Times New Roman" w:hAnsi="Times New Roman" w:cs="Times New Roman"/>
                <w:sz w:val="13"/>
              </w:rPr>
              <w:t>transfer</w:t>
            </w:r>
            <w:proofErr w:type="gramEnd"/>
            <w:r>
              <w:rPr>
                <w:rFonts w:ascii="Times New Roman" w:eastAsia="Times New Roman" w:hAnsi="Times New Roman" w:cs="Times New Roman"/>
                <w:sz w:val="13"/>
              </w:rPr>
              <w:t xml:space="preserve"> to NPDC</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5" w:firstLine="0"/>
              <w:jc w:val="right"/>
            </w:pPr>
            <w:r>
              <w:rPr>
                <w:rFonts w:ascii="Times New Roman" w:eastAsia="Times New Roman" w:hAnsi="Times New Roman" w:cs="Times New Roman"/>
                <w:sz w:val="13"/>
              </w:rPr>
              <w:t>-</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442</w:t>
            </w:r>
          </w:p>
        </w:tc>
      </w:tr>
      <w:tr w:rsidR="001C682A">
        <w:trPr>
          <w:trHeight w:val="170"/>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443</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09" w:firstLine="0"/>
              <w:jc w:val="left"/>
            </w:pPr>
            <w:r>
              <w:rPr>
                <w:rFonts w:ascii="Times New Roman" w:eastAsia="Times New Roman" w:hAnsi="Times New Roman" w:cs="Times New Roman"/>
                <w:b/>
                <w:sz w:val="13"/>
              </w:rPr>
              <w:t>LOCAL GOVERNMENT COUNCILS</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62" w:firstLine="0"/>
              <w:jc w:val="left"/>
            </w:pPr>
            <w:r>
              <w:rPr>
                <w:rFonts w:ascii="Times New Roman" w:eastAsia="Times New Roman" w:hAnsi="Times New Roman" w:cs="Times New Roman"/>
                <w:b/>
                <w:sz w:val="13"/>
              </w:rPr>
              <w:t>1,713,382,119,738</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62" w:firstLine="0"/>
              <w:jc w:val="left"/>
            </w:pPr>
            <w:r>
              <w:rPr>
                <w:rFonts w:ascii="Times New Roman" w:eastAsia="Times New Roman" w:hAnsi="Times New Roman" w:cs="Times New Roman"/>
                <w:b/>
                <w:sz w:val="13"/>
              </w:rPr>
              <w:t>1,971,046,385,067</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09" w:firstLine="0"/>
              <w:jc w:val="left"/>
            </w:pPr>
            <w:r>
              <w:rPr>
                <w:rFonts w:ascii="Times New Roman" w:eastAsia="Times New Roman" w:hAnsi="Times New Roman" w:cs="Times New Roman"/>
                <w:b/>
                <w:sz w:val="13"/>
              </w:rPr>
              <w:t>2,245,607,977,049</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09" w:firstLine="0"/>
              <w:jc w:val="left"/>
            </w:pPr>
            <w:r>
              <w:rPr>
                <w:rFonts w:ascii="Times New Roman" w:eastAsia="Times New Roman" w:hAnsi="Times New Roman" w:cs="Times New Roman"/>
                <w:b/>
                <w:sz w:val="13"/>
              </w:rPr>
              <w:t>2,426,448,048,049</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443</w:t>
            </w:r>
          </w:p>
        </w:tc>
      </w:tr>
      <w:tr w:rsidR="001C682A">
        <w:trPr>
          <w:trHeight w:val="171"/>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444</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97" w:firstLine="0"/>
              <w:jc w:val="left"/>
            </w:pPr>
            <w:r>
              <w:rPr>
                <w:rFonts w:ascii="Times New Roman" w:eastAsia="Times New Roman" w:hAnsi="Times New Roman" w:cs="Times New Roman"/>
                <w:sz w:val="13"/>
              </w:rPr>
              <w:t>Local Govt.'s Share of Federation Account</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62" w:firstLine="0"/>
              <w:jc w:val="left"/>
            </w:pPr>
            <w:r>
              <w:rPr>
                <w:rFonts w:ascii="Times New Roman" w:eastAsia="Times New Roman" w:hAnsi="Times New Roman" w:cs="Times New Roman"/>
                <w:sz w:val="13"/>
              </w:rPr>
              <w:t>1,003,096,917,890</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262" w:firstLine="0"/>
              <w:jc w:val="left"/>
            </w:pPr>
            <w:r>
              <w:rPr>
                <w:rFonts w:ascii="Times New Roman" w:eastAsia="Times New Roman" w:hAnsi="Times New Roman" w:cs="Times New Roman"/>
                <w:sz w:val="13"/>
              </w:rPr>
              <w:t>1,374,980,816,177</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09" w:firstLine="0"/>
              <w:jc w:val="left"/>
            </w:pPr>
            <w:r>
              <w:rPr>
                <w:rFonts w:ascii="Times New Roman" w:eastAsia="Times New Roman" w:hAnsi="Times New Roman" w:cs="Times New Roman"/>
                <w:sz w:val="13"/>
              </w:rPr>
              <w:t>1,610,644,649,076</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309" w:firstLine="0"/>
              <w:jc w:val="left"/>
            </w:pPr>
            <w:r>
              <w:rPr>
                <w:rFonts w:ascii="Times New Roman" w:eastAsia="Times New Roman" w:hAnsi="Times New Roman" w:cs="Times New Roman"/>
                <w:sz w:val="13"/>
              </w:rPr>
              <w:t>1,768,773,941,203</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444</w:t>
            </w:r>
          </w:p>
        </w:tc>
      </w:tr>
      <w:tr w:rsidR="001C682A">
        <w:trPr>
          <w:trHeight w:val="170"/>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445</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97" w:firstLine="0"/>
              <w:jc w:val="left"/>
            </w:pPr>
            <w:r>
              <w:rPr>
                <w:rFonts w:ascii="Times New Roman" w:eastAsia="Times New Roman" w:hAnsi="Times New Roman" w:cs="Times New Roman"/>
                <w:sz w:val="13"/>
              </w:rPr>
              <w:t>Local Govt.'s Share of VAT Pool Account</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710,285,201,848</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596,065,568,889</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1" w:firstLine="0"/>
              <w:jc w:val="right"/>
            </w:pPr>
            <w:r>
              <w:rPr>
                <w:rFonts w:ascii="Times New Roman" w:eastAsia="Times New Roman" w:hAnsi="Times New Roman" w:cs="Times New Roman"/>
                <w:sz w:val="13"/>
              </w:rPr>
              <w:t>634,963,327,973</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42" w:firstLine="0"/>
              <w:jc w:val="right"/>
            </w:pPr>
            <w:r>
              <w:rPr>
                <w:rFonts w:ascii="Times New Roman" w:eastAsia="Times New Roman" w:hAnsi="Times New Roman" w:cs="Times New Roman"/>
                <w:sz w:val="13"/>
              </w:rPr>
              <w:t>657,674,106,846</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445</w:t>
            </w:r>
          </w:p>
        </w:tc>
      </w:tr>
      <w:tr w:rsidR="001C682A">
        <w:trPr>
          <w:trHeight w:val="170"/>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446</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97" w:firstLine="0"/>
              <w:jc w:val="left"/>
            </w:pPr>
            <w:r>
              <w:rPr>
                <w:rFonts w:ascii="Times New Roman" w:eastAsia="Times New Roman" w:hAnsi="Times New Roman" w:cs="Times New Roman"/>
                <w:sz w:val="13"/>
              </w:rPr>
              <w:t xml:space="preserve">Local </w:t>
            </w:r>
            <w:proofErr w:type="spellStart"/>
            <w:r>
              <w:rPr>
                <w:rFonts w:ascii="Times New Roman" w:eastAsia="Times New Roman" w:hAnsi="Times New Roman" w:cs="Times New Roman"/>
                <w:sz w:val="13"/>
              </w:rPr>
              <w:t>Govt.s</w:t>
            </w:r>
            <w:proofErr w:type="spellEnd"/>
            <w:r>
              <w:rPr>
                <w:rFonts w:ascii="Times New Roman" w:eastAsia="Times New Roman" w:hAnsi="Times New Roman" w:cs="Times New Roman"/>
                <w:sz w:val="13"/>
              </w:rPr>
              <w:t>' Share of Stabilisation (ECA)</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5" w:firstLine="0"/>
              <w:jc w:val="right"/>
            </w:pPr>
            <w:r>
              <w:rPr>
                <w:rFonts w:ascii="Times New Roman" w:eastAsia="Times New Roman" w:hAnsi="Times New Roman" w:cs="Times New Roman"/>
                <w:sz w:val="13"/>
              </w:rPr>
              <w:t>-</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446</w:t>
            </w:r>
          </w:p>
        </w:tc>
      </w:tr>
      <w:tr w:rsidR="001C682A">
        <w:trPr>
          <w:trHeight w:val="171"/>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447</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97" w:firstLine="0"/>
              <w:jc w:val="left"/>
            </w:pPr>
            <w:r>
              <w:rPr>
                <w:rFonts w:ascii="Times New Roman" w:eastAsia="Times New Roman" w:hAnsi="Times New Roman" w:cs="Times New Roman"/>
                <w:sz w:val="13"/>
              </w:rPr>
              <w:t xml:space="preserve">Local </w:t>
            </w:r>
            <w:proofErr w:type="spellStart"/>
            <w:r>
              <w:rPr>
                <w:rFonts w:ascii="Times New Roman" w:eastAsia="Times New Roman" w:hAnsi="Times New Roman" w:cs="Times New Roman"/>
                <w:sz w:val="13"/>
              </w:rPr>
              <w:t>Govt.s</w:t>
            </w:r>
            <w:proofErr w:type="spellEnd"/>
            <w:r>
              <w:rPr>
                <w:rFonts w:ascii="Times New Roman" w:eastAsia="Times New Roman" w:hAnsi="Times New Roman" w:cs="Times New Roman"/>
                <w:sz w:val="13"/>
              </w:rPr>
              <w:t>' Share of Signature Bonus</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5" w:firstLine="0"/>
              <w:jc w:val="right"/>
            </w:pPr>
            <w:r>
              <w:rPr>
                <w:rFonts w:ascii="Times New Roman" w:eastAsia="Times New Roman" w:hAnsi="Times New Roman" w:cs="Times New Roman"/>
                <w:sz w:val="13"/>
              </w:rPr>
              <w:t>-</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447</w:t>
            </w:r>
          </w:p>
        </w:tc>
      </w:tr>
      <w:tr w:rsidR="001C682A">
        <w:trPr>
          <w:trHeight w:val="170"/>
        </w:trPr>
        <w:tc>
          <w:tcPr>
            <w:tcW w:w="309" w:type="dxa"/>
            <w:tcBorders>
              <w:top w:val="single" w:sz="3" w:space="0" w:color="000000"/>
              <w:left w:val="single" w:sz="2" w:space="0" w:color="0000D0"/>
              <w:bottom w:val="single" w:sz="3" w:space="0" w:color="000000"/>
              <w:right w:val="single" w:sz="2" w:space="0" w:color="000000"/>
            </w:tcBorders>
            <w:shd w:val="clear" w:color="auto" w:fill="FFFFFF"/>
          </w:tcPr>
          <w:p w:rsidR="001C682A" w:rsidRDefault="00B03C38">
            <w:pPr>
              <w:spacing w:after="0" w:line="259" w:lineRule="auto"/>
              <w:ind w:left="65" w:firstLine="0"/>
              <w:jc w:val="left"/>
            </w:pPr>
            <w:r>
              <w:rPr>
                <w:rFonts w:ascii="Times New Roman" w:eastAsia="Times New Roman" w:hAnsi="Times New Roman" w:cs="Times New Roman"/>
                <w:sz w:val="13"/>
              </w:rPr>
              <w:t>448</w:t>
            </w:r>
          </w:p>
        </w:tc>
        <w:tc>
          <w:tcPr>
            <w:tcW w:w="3987" w:type="dxa"/>
            <w:gridSpan w:val="2"/>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197" w:firstLine="0"/>
              <w:jc w:val="left"/>
            </w:pPr>
            <w:r>
              <w:rPr>
                <w:rFonts w:ascii="Times New Roman" w:eastAsia="Times New Roman" w:hAnsi="Times New Roman" w:cs="Times New Roman"/>
                <w:sz w:val="13"/>
              </w:rPr>
              <w:t>Share of Proceeds from JV Assets transfer to NPDC</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07"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54"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4" w:firstLine="0"/>
              <w:jc w:val="right"/>
            </w:pPr>
            <w:r>
              <w:rPr>
                <w:rFonts w:ascii="Times New Roman" w:eastAsia="Times New Roman" w:hAnsi="Times New Roman" w:cs="Times New Roman"/>
                <w:sz w:val="13"/>
              </w:rPr>
              <w:t>-</w:t>
            </w:r>
          </w:p>
        </w:tc>
        <w:tc>
          <w:tcPr>
            <w:tcW w:w="1255" w:type="dxa"/>
            <w:tcBorders>
              <w:top w:val="single" w:sz="3" w:space="0" w:color="000000"/>
              <w:left w:val="single" w:sz="2" w:space="0" w:color="000000"/>
              <w:bottom w:val="single" w:sz="3" w:space="0" w:color="000000"/>
              <w:right w:val="single" w:sz="2" w:space="0" w:color="000000"/>
            </w:tcBorders>
          </w:tcPr>
          <w:p w:rsidR="001C682A" w:rsidRDefault="00B03C38">
            <w:pPr>
              <w:spacing w:after="0" w:line="259" w:lineRule="auto"/>
              <w:ind w:left="0" w:right="85" w:firstLine="0"/>
              <w:jc w:val="right"/>
            </w:pPr>
            <w:r>
              <w:rPr>
                <w:rFonts w:ascii="Times New Roman" w:eastAsia="Times New Roman" w:hAnsi="Times New Roman" w:cs="Times New Roman"/>
                <w:sz w:val="13"/>
              </w:rPr>
              <w:t>-</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448</w:t>
            </w:r>
          </w:p>
        </w:tc>
      </w:tr>
      <w:tr w:rsidR="001C682A">
        <w:trPr>
          <w:trHeight w:val="171"/>
        </w:trPr>
        <w:tc>
          <w:tcPr>
            <w:tcW w:w="309" w:type="dxa"/>
            <w:tcBorders>
              <w:top w:val="single" w:sz="3" w:space="0" w:color="000000"/>
              <w:left w:val="single" w:sz="2" w:space="0" w:color="0000D0"/>
              <w:bottom w:val="single" w:sz="3" w:space="0" w:color="000000"/>
              <w:right w:val="single" w:sz="2" w:space="0" w:color="000000"/>
            </w:tcBorders>
          </w:tcPr>
          <w:p w:rsidR="001C682A" w:rsidRDefault="00B03C38">
            <w:pPr>
              <w:spacing w:after="0" w:line="259" w:lineRule="auto"/>
              <w:ind w:left="65" w:firstLine="0"/>
              <w:jc w:val="left"/>
            </w:pPr>
            <w:r>
              <w:rPr>
                <w:rFonts w:ascii="Times New Roman" w:eastAsia="Times New Roman" w:hAnsi="Times New Roman" w:cs="Times New Roman"/>
                <w:sz w:val="13"/>
              </w:rPr>
              <w:t>449</w:t>
            </w:r>
          </w:p>
        </w:tc>
        <w:tc>
          <w:tcPr>
            <w:tcW w:w="3987" w:type="dxa"/>
            <w:gridSpan w:val="2"/>
            <w:tcBorders>
              <w:top w:val="single" w:sz="3" w:space="0" w:color="000000"/>
              <w:left w:val="single" w:sz="2" w:space="0" w:color="000000"/>
              <w:bottom w:val="single" w:sz="3" w:space="0" w:color="000000"/>
              <w:right w:val="single" w:sz="2" w:space="0" w:color="000000"/>
            </w:tcBorders>
            <w:shd w:val="clear" w:color="auto" w:fill="000000"/>
          </w:tcPr>
          <w:p w:rsidR="001C682A" w:rsidRDefault="00B03C38">
            <w:pPr>
              <w:spacing w:after="0" w:line="259" w:lineRule="auto"/>
              <w:ind w:left="21" w:firstLine="0"/>
              <w:jc w:val="left"/>
            </w:pPr>
            <w:r>
              <w:rPr>
                <w:rFonts w:ascii="Times New Roman" w:eastAsia="Times New Roman" w:hAnsi="Times New Roman" w:cs="Times New Roman"/>
                <w:b/>
                <w:color w:val="FFFFFF"/>
                <w:sz w:val="13"/>
              </w:rPr>
              <w:t>TOTAL MEMORANDUM ITEMS</w:t>
            </w:r>
          </w:p>
        </w:tc>
        <w:tc>
          <w:tcPr>
            <w:tcW w:w="1207" w:type="dxa"/>
            <w:tcBorders>
              <w:top w:val="single" w:sz="3" w:space="0" w:color="000000"/>
              <w:left w:val="single" w:sz="2" w:space="0" w:color="000000"/>
              <w:bottom w:val="single" w:sz="3" w:space="0" w:color="000000"/>
              <w:right w:val="single" w:sz="2" w:space="0" w:color="000000"/>
            </w:tcBorders>
            <w:shd w:val="clear" w:color="auto" w:fill="000000"/>
          </w:tcPr>
          <w:p w:rsidR="001C682A" w:rsidRDefault="00B03C38">
            <w:pPr>
              <w:spacing w:after="0" w:line="259" w:lineRule="auto"/>
              <w:ind w:left="0" w:firstLine="0"/>
              <w:jc w:val="right"/>
            </w:pPr>
            <w:r>
              <w:rPr>
                <w:rFonts w:ascii="Times New Roman" w:eastAsia="Times New Roman" w:hAnsi="Times New Roman" w:cs="Times New Roman"/>
                <w:b/>
                <w:color w:val="FFFFFF"/>
                <w:sz w:val="13"/>
              </w:rPr>
              <w:t>5,108,950,217,393</w:t>
            </w:r>
          </w:p>
        </w:tc>
        <w:tc>
          <w:tcPr>
            <w:tcW w:w="1207" w:type="dxa"/>
            <w:tcBorders>
              <w:top w:val="single" w:sz="3" w:space="0" w:color="000000"/>
              <w:left w:val="single" w:sz="2" w:space="0" w:color="000000"/>
              <w:bottom w:val="single" w:sz="3" w:space="0" w:color="000000"/>
              <w:right w:val="single" w:sz="2" w:space="0" w:color="000000"/>
            </w:tcBorders>
            <w:shd w:val="clear" w:color="auto" w:fill="000000"/>
          </w:tcPr>
          <w:p w:rsidR="001C682A" w:rsidRDefault="00B03C38">
            <w:pPr>
              <w:spacing w:after="0" w:line="259" w:lineRule="auto"/>
              <w:ind w:left="0" w:firstLine="0"/>
              <w:jc w:val="right"/>
            </w:pPr>
            <w:r>
              <w:rPr>
                <w:rFonts w:ascii="Times New Roman" w:eastAsia="Times New Roman" w:hAnsi="Times New Roman" w:cs="Times New Roman"/>
                <w:b/>
                <w:color w:val="FFFFFF"/>
                <w:sz w:val="13"/>
              </w:rPr>
              <w:t>6,026,471,152,965</w:t>
            </w:r>
          </w:p>
        </w:tc>
        <w:tc>
          <w:tcPr>
            <w:tcW w:w="1254" w:type="dxa"/>
            <w:tcBorders>
              <w:top w:val="single" w:sz="3" w:space="0" w:color="000000"/>
              <w:left w:val="single" w:sz="2" w:space="0" w:color="000000"/>
              <w:bottom w:val="single" w:sz="3" w:space="0" w:color="000000"/>
              <w:right w:val="single" w:sz="2" w:space="0" w:color="000000"/>
            </w:tcBorders>
            <w:shd w:val="clear" w:color="auto" w:fill="000000"/>
          </w:tcPr>
          <w:p w:rsidR="001C682A" w:rsidRDefault="00B03C38">
            <w:pPr>
              <w:spacing w:after="0" w:line="259" w:lineRule="auto"/>
              <w:ind w:left="0" w:firstLine="0"/>
              <w:jc w:val="right"/>
            </w:pPr>
            <w:r>
              <w:rPr>
                <w:rFonts w:ascii="Times New Roman" w:eastAsia="Times New Roman" w:hAnsi="Times New Roman" w:cs="Times New Roman"/>
                <w:b/>
                <w:color w:val="FFFFFF"/>
                <w:sz w:val="13"/>
              </w:rPr>
              <w:t>6,519,352,123,993</w:t>
            </w:r>
          </w:p>
        </w:tc>
        <w:tc>
          <w:tcPr>
            <w:tcW w:w="1255" w:type="dxa"/>
            <w:tcBorders>
              <w:top w:val="single" w:sz="3" w:space="0" w:color="000000"/>
              <w:left w:val="single" w:sz="2" w:space="0" w:color="000000"/>
              <w:bottom w:val="single" w:sz="3" w:space="0" w:color="000000"/>
              <w:right w:val="single" w:sz="2" w:space="0" w:color="000000"/>
            </w:tcBorders>
            <w:shd w:val="clear" w:color="auto" w:fill="000000"/>
          </w:tcPr>
          <w:p w:rsidR="001C682A" w:rsidRDefault="00B03C38">
            <w:pPr>
              <w:spacing w:after="0" w:line="259" w:lineRule="auto"/>
              <w:ind w:left="0" w:right="1" w:firstLine="0"/>
              <w:jc w:val="right"/>
            </w:pPr>
            <w:r>
              <w:rPr>
                <w:rFonts w:ascii="Times New Roman" w:eastAsia="Times New Roman" w:hAnsi="Times New Roman" w:cs="Times New Roman"/>
                <w:b/>
                <w:color w:val="FFFFFF"/>
                <w:sz w:val="13"/>
              </w:rPr>
              <w:t>7,022,229,197,493</w:t>
            </w:r>
          </w:p>
        </w:tc>
        <w:tc>
          <w:tcPr>
            <w:tcW w:w="70" w:type="dxa"/>
            <w:tcBorders>
              <w:top w:val="single" w:sz="3" w:space="0" w:color="000000"/>
              <w:left w:val="single" w:sz="2" w:space="0" w:color="000000"/>
              <w:bottom w:val="single" w:sz="3" w:space="0" w:color="000000"/>
              <w:right w:val="single" w:sz="2" w:space="0" w:color="000000"/>
            </w:tcBorders>
          </w:tcPr>
          <w:p w:rsidR="001C682A" w:rsidRDefault="001C682A">
            <w:pPr>
              <w:spacing w:after="160" w:line="259" w:lineRule="auto"/>
              <w:ind w:left="0" w:firstLine="0"/>
              <w:jc w:val="left"/>
            </w:pPr>
          </w:p>
        </w:tc>
        <w:tc>
          <w:tcPr>
            <w:tcW w:w="305" w:type="dxa"/>
            <w:tcBorders>
              <w:top w:val="single" w:sz="3" w:space="0" w:color="000000"/>
              <w:left w:val="single" w:sz="2" w:space="0" w:color="000000"/>
              <w:bottom w:val="single" w:sz="3" w:space="0" w:color="000000"/>
              <w:right w:val="single" w:sz="5" w:space="0" w:color="0000D0"/>
            </w:tcBorders>
          </w:tcPr>
          <w:p w:rsidR="001C682A" w:rsidRDefault="00B03C38">
            <w:pPr>
              <w:spacing w:after="0" w:line="259" w:lineRule="auto"/>
              <w:ind w:left="68" w:firstLine="0"/>
              <w:jc w:val="left"/>
            </w:pPr>
            <w:r>
              <w:rPr>
                <w:rFonts w:ascii="Times New Roman" w:eastAsia="Times New Roman" w:hAnsi="Times New Roman" w:cs="Times New Roman"/>
                <w:sz w:val="13"/>
              </w:rPr>
              <w:t>449</w:t>
            </w:r>
          </w:p>
        </w:tc>
      </w:tr>
      <w:tr w:rsidR="001C682A">
        <w:trPr>
          <w:trHeight w:val="196"/>
        </w:trPr>
        <w:tc>
          <w:tcPr>
            <w:tcW w:w="309" w:type="dxa"/>
            <w:tcBorders>
              <w:top w:val="single" w:sz="3" w:space="0" w:color="000000"/>
              <w:left w:val="single" w:sz="2" w:space="0" w:color="0000D0"/>
              <w:bottom w:val="single" w:sz="3" w:space="0" w:color="D4D4D4"/>
              <w:right w:val="single" w:sz="2" w:space="0" w:color="D4D4D4"/>
            </w:tcBorders>
          </w:tcPr>
          <w:p w:rsidR="001C682A" w:rsidRDefault="001C682A">
            <w:pPr>
              <w:spacing w:after="160" w:line="259" w:lineRule="auto"/>
              <w:ind w:left="0" w:firstLine="0"/>
              <w:jc w:val="left"/>
            </w:pPr>
          </w:p>
        </w:tc>
        <w:tc>
          <w:tcPr>
            <w:tcW w:w="424" w:type="dxa"/>
            <w:tcBorders>
              <w:top w:val="single" w:sz="3" w:space="0" w:color="000000"/>
              <w:left w:val="single" w:sz="2" w:space="0" w:color="D4D4D4"/>
              <w:bottom w:val="single" w:sz="3" w:space="0" w:color="D4D4D4"/>
              <w:right w:val="single" w:sz="2" w:space="0" w:color="D4D4D4"/>
            </w:tcBorders>
          </w:tcPr>
          <w:p w:rsidR="001C682A" w:rsidRDefault="001C682A">
            <w:pPr>
              <w:spacing w:after="160" w:line="259" w:lineRule="auto"/>
              <w:ind w:left="0" w:firstLine="0"/>
              <w:jc w:val="left"/>
            </w:pPr>
          </w:p>
        </w:tc>
        <w:tc>
          <w:tcPr>
            <w:tcW w:w="8487" w:type="dxa"/>
            <w:gridSpan w:val="5"/>
            <w:tcBorders>
              <w:top w:val="single" w:sz="3" w:space="0" w:color="000000"/>
              <w:left w:val="single" w:sz="2" w:space="0" w:color="D4D4D4"/>
              <w:bottom w:val="single" w:sz="3" w:space="0" w:color="D4D4D4"/>
              <w:right w:val="single" w:sz="2" w:space="0" w:color="D4D4D4"/>
            </w:tcBorders>
          </w:tcPr>
          <w:p w:rsidR="001C682A" w:rsidRDefault="00B03C38">
            <w:pPr>
              <w:spacing w:after="0" w:line="259" w:lineRule="auto"/>
              <w:ind w:left="21" w:firstLine="0"/>
              <w:jc w:val="left"/>
            </w:pPr>
            <w:r>
              <w:rPr>
                <w:rFonts w:ascii="Times New Roman" w:eastAsia="Times New Roman" w:hAnsi="Times New Roman" w:cs="Times New Roman"/>
                <w:i/>
                <w:sz w:val="13"/>
              </w:rPr>
              <w:t>* Relates to oil production volumes, the proceeds of which will be applied to repay the arrears of JV Cash Calls, and hence not available for sale to fund the budget.</w:t>
            </w:r>
          </w:p>
        </w:tc>
        <w:tc>
          <w:tcPr>
            <w:tcW w:w="375" w:type="dxa"/>
            <w:gridSpan w:val="2"/>
            <w:tcBorders>
              <w:top w:val="single" w:sz="3" w:space="0" w:color="000000"/>
              <w:left w:val="single" w:sz="2" w:space="0" w:color="D4D4D4"/>
              <w:bottom w:val="nil"/>
              <w:right w:val="single" w:sz="5" w:space="0" w:color="0000D0"/>
            </w:tcBorders>
          </w:tcPr>
          <w:p w:rsidR="001C682A" w:rsidRDefault="001C682A">
            <w:pPr>
              <w:spacing w:after="160" w:line="259" w:lineRule="auto"/>
              <w:ind w:left="0" w:firstLine="0"/>
              <w:jc w:val="left"/>
            </w:pPr>
          </w:p>
        </w:tc>
      </w:tr>
      <w:tr w:rsidR="001C682A">
        <w:trPr>
          <w:trHeight w:val="197"/>
        </w:trPr>
        <w:tc>
          <w:tcPr>
            <w:tcW w:w="309" w:type="dxa"/>
            <w:vMerge w:val="restart"/>
            <w:tcBorders>
              <w:top w:val="single" w:sz="3" w:space="0" w:color="D4D4D4"/>
              <w:left w:val="single" w:sz="2" w:space="0" w:color="0000D0"/>
              <w:bottom w:val="single" w:sz="5" w:space="0" w:color="0000D0"/>
              <w:right w:val="nil"/>
            </w:tcBorders>
          </w:tcPr>
          <w:p w:rsidR="001C682A" w:rsidRDefault="001C682A">
            <w:pPr>
              <w:spacing w:after="160" w:line="259" w:lineRule="auto"/>
              <w:ind w:left="0" w:firstLine="0"/>
              <w:jc w:val="left"/>
            </w:pPr>
          </w:p>
        </w:tc>
        <w:tc>
          <w:tcPr>
            <w:tcW w:w="424" w:type="dxa"/>
            <w:tcBorders>
              <w:top w:val="single" w:sz="3" w:space="0" w:color="D4D4D4"/>
              <w:left w:val="single" w:sz="2" w:space="0" w:color="D4D4D4"/>
              <w:bottom w:val="single" w:sz="3" w:space="0" w:color="D4D4D4"/>
              <w:right w:val="single" w:sz="2" w:space="0" w:color="D4D4D4"/>
            </w:tcBorders>
          </w:tcPr>
          <w:p w:rsidR="001C682A" w:rsidRDefault="001C682A">
            <w:pPr>
              <w:spacing w:after="160" w:line="259" w:lineRule="auto"/>
              <w:ind w:left="0" w:firstLine="0"/>
              <w:jc w:val="left"/>
            </w:pPr>
          </w:p>
        </w:tc>
        <w:tc>
          <w:tcPr>
            <w:tcW w:w="5977" w:type="dxa"/>
            <w:gridSpan w:val="3"/>
            <w:tcBorders>
              <w:top w:val="single" w:sz="3" w:space="0" w:color="D4D4D4"/>
              <w:left w:val="single" w:sz="2" w:space="0" w:color="D4D4D4"/>
              <w:bottom w:val="single" w:sz="3" w:space="0" w:color="D4D4D4"/>
              <w:right w:val="single" w:sz="2" w:space="0" w:color="D4D4D4"/>
            </w:tcBorders>
          </w:tcPr>
          <w:p w:rsidR="001C682A" w:rsidRDefault="00B03C38">
            <w:pPr>
              <w:spacing w:after="0" w:line="259" w:lineRule="auto"/>
              <w:ind w:left="21" w:firstLine="0"/>
              <w:jc w:val="left"/>
            </w:pPr>
            <w:r>
              <w:rPr>
                <w:rFonts w:ascii="Times New Roman" w:eastAsia="Times New Roman" w:hAnsi="Times New Roman" w:cs="Times New Roman"/>
                <w:i/>
                <w:sz w:val="12"/>
              </w:rPr>
              <w:t xml:space="preserve">** In the medium term, the provisions for Power Sector Reform Programme are </w:t>
            </w:r>
            <w:proofErr w:type="spellStart"/>
            <w:r>
              <w:rPr>
                <w:rFonts w:ascii="Times New Roman" w:eastAsia="Times New Roman" w:hAnsi="Times New Roman" w:cs="Times New Roman"/>
                <w:i/>
                <w:sz w:val="12"/>
              </w:rPr>
              <w:t>embeded</w:t>
            </w:r>
            <w:proofErr w:type="spellEnd"/>
            <w:r>
              <w:rPr>
                <w:rFonts w:ascii="Times New Roman" w:eastAsia="Times New Roman" w:hAnsi="Times New Roman" w:cs="Times New Roman"/>
                <w:i/>
                <w:sz w:val="12"/>
              </w:rPr>
              <w:t xml:space="preserve"> in the Capital Budget of NBET</w:t>
            </w:r>
          </w:p>
        </w:tc>
        <w:tc>
          <w:tcPr>
            <w:tcW w:w="1254" w:type="dxa"/>
            <w:tcBorders>
              <w:top w:val="single" w:sz="3" w:space="0" w:color="D4D4D4"/>
              <w:left w:val="single" w:sz="2" w:space="0" w:color="D4D4D4"/>
              <w:bottom w:val="single" w:sz="3" w:space="0" w:color="D4D4D4"/>
              <w:right w:val="single" w:sz="2" w:space="0" w:color="D4D4D4"/>
            </w:tcBorders>
          </w:tcPr>
          <w:p w:rsidR="001C682A" w:rsidRDefault="001C682A">
            <w:pPr>
              <w:spacing w:after="160" w:line="259" w:lineRule="auto"/>
              <w:ind w:left="0" w:firstLine="0"/>
              <w:jc w:val="left"/>
            </w:pPr>
          </w:p>
        </w:tc>
        <w:tc>
          <w:tcPr>
            <w:tcW w:w="1255" w:type="dxa"/>
            <w:tcBorders>
              <w:top w:val="single" w:sz="3" w:space="0" w:color="D4D4D4"/>
              <w:left w:val="single" w:sz="2" w:space="0" w:color="D4D4D4"/>
              <w:bottom w:val="single" w:sz="3" w:space="0" w:color="D4D4D4"/>
              <w:right w:val="single" w:sz="2" w:space="0" w:color="D4D4D4"/>
            </w:tcBorders>
          </w:tcPr>
          <w:p w:rsidR="001C682A" w:rsidRDefault="001C682A">
            <w:pPr>
              <w:spacing w:after="160" w:line="259" w:lineRule="auto"/>
              <w:ind w:left="0" w:firstLine="0"/>
              <w:jc w:val="left"/>
            </w:pPr>
          </w:p>
        </w:tc>
        <w:tc>
          <w:tcPr>
            <w:tcW w:w="375" w:type="dxa"/>
            <w:gridSpan w:val="2"/>
            <w:tcBorders>
              <w:top w:val="nil"/>
              <w:left w:val="single" w:sz="2" w:space="0" w:color="D4D4D4"/>
              <w:bottom w:val="nil"/>
              <w:right w:val="single" w:sz="5" w:space="0" w:color="0000D0"/>
            </w:tcBorders>
          </w:tcPr>
          <w:p w:rsidR="001C682A" w:rsidRDefault="001C682A">
            <w:pPr>
              <w:spacing w:after="160" w:line="259" w:lineRule="auto"/>
              <w:ind w:left="0" w:firstLine="0"/>
              <w:jc w:val="left"/>
            </w:pPr>
          </w:p>
        </w:tc>
      </w:tr>
      <w:tr w:rsidR="001C682A">
        <w:trPr>
          <w:trHeight w:val="194"/>
        </w:trPr>
        <w:tc>
          <w:tcPr>
            <w:tcW w:w="0" w:type="auto"/>
            <w:vMerge/>
            <w:tcBorders>
              <w:top w:val="nil"/>
              <w:left w:val="single" w:sz="2" w:space="0" w:color="0000D0"/>
              <w:bottom w:val="single" w:sz="5" w:space="0" w:color="0000D0"/>
              <w:right w:val="nil"/>
            </w:tcBorders>
          </w:tcPr>
          <w:p w:rsidR="001C682A" w:rsidRDefault="001C682A">
            <w:pPr>
              <w:spacing w:after="160" w:line="259" w:lineRule="auto"/>
              <w:ind w:left="0" w:firstLine="0"/>
              <w:jc w:val="left"/>
            </w:pPr>
          </w:p>
        </w:tc>
        <w:tc>
          <w:tcPr>
            <w:tcW w:w="424" w:type="dxa"/>
            <w:tcBorders>
              <w:top w:val="single" w:sz="3" w:space="0" w:color="D4D4D4"/>
              <w:left w:val="nil"/>
              <w:bottom w:val="single" w:sz="5" w:space="0" w:color="0000D0"/>
              <w:right w:val="single" w:sz="2" w:space="0" w:color="D4D4D4"/>
            </w:tcBorders>
          </w:tcPr>
          <w:p w:rsidR="001C682A" w:rsidRDefault="001C682A">
            <w:pPr>
              <w:spacing w:after="160" w:line="259" w:lineRule="auto"/>
              <w:ind w:left="0" w:firstLine="0"/>
              <w:jc w:val="left"/>
            </w:pPr>
          </w:p>
        </w:tc>
        <w:tc>
          <w:tcPr>
            <w:tcW w:w="3563" w:type="dxa"/>
            <w:tcBorders>
              <w:top w:val="single" w:sz="3" w:space="0" w:color="D4D4D4"/>
              <w:left w:val="single" w:sz="2" w:space="0" w:color="D4D4D4"/>
              <w:bottom w:val="single" w:sz="5" w:space="0" w:color="0000D0"/>
              <w:right w:val="single" w:sz="2" w:space="0" w:color="D4D4D4"/>
            </w:tcBorders>
          </w:tcPr>
          <w:p w:rsidR="001C682A" w:rsidRDefault="001C682A">
            <w:pPr>
              <w:spacing w:after="160" w:line="259" w:lineRule="auto"/>
              <w:ind w:left="0" w:firstLine="0"/>
              <w:jc w:val="left"/>
            </w:pPr>
          </w:p>
        </w:tc>
        <w:tc>
          <w:tcPr>
            <w:tcW w:w="1207" w:type="dxa"/>
            <w:tcBorders>
              <w:top w:val="single" w:sz="3" w:space="0" w:color="D4D4D4"/>
              <w:left w:val="single" w:sz="2" w:space="0" w:color="D4D4D4"/>
              <w:bottom w:val="single" w:sz="5" w:space="0" w:color="0000D0"/>
              <w:right w:val="single" w:sz="2" w:space="0" w:color="D4D4D4"/>
            </w:tcBorders>
          </w:tcPr>
          <w:p w:rsidR="001C682A" w:rsidRDefault="001C682A">
            <w:pPr>
              <w:spacing w:after="160" w:line="259" w:lineRule="auto"/>
              <w:ind w:left="0" w:firstLine="0"/>
              <w:jc w:val="left"/>
            </w:pPr>
          </w:p>
        </w:tc>
        <w:tc>
          <w:tcPr>
            <w:tcW w:w="1207" w:type="dxa"/>
            <w:tcBorders>
              <w:top w:val="single" w:sz="3" w:space="0" w:color="D4D4D4"/>
              <w:left w:val="single" w:sz="2" w:space="0" w:color="D4D4D4"/>
              <w:bottom w:val="single" w:sz="5" w:space="0" w:color="0000D0"/>
              <w:right w:val="single" w:sz="2" w:space="0" w:color="D4D4D4"/>
            </w:tcBorders>
          </w:tcPr>
          <w:p w:rsidR="001C682A" w:rsidRDefault="001C682A">
            <w:pPr>
              <w:spacing w:after="160" w:line="259" w:lineRule="auto"/>
              <w:ind w:left="0" w:firstLine="0"/>
              <w:jc w:val="left"/>
            </w:pPr>
          </w:p>
        </w:tc>
        <w:tc>
          <w:tcPr>
            <w:tcW w:w="1254" w:type="dxa"/>
            <w:tcBorders>
              <w:top w:val="single" w:sz="3" w:space="0" w:color="D4D4D4"/>
              <w:left w:val="single" w:sz="2" w:space="0" w:color="D4D4D4"/>
              <w:bottom w:val="single" w:sz="5" w:space="0" w:color="0000D0"/>
              <w:right w:val="single" w:sz="2" w:space="0" w:color="D4D4D4"/>
            </w:tcBorders>
          </w:tcPr>
          <w:p w:rsidR="001C682A" w:rsidRDefault="001C682A">
            <w:pPr>
              <w:spacing w:after="160" w:line="259" w:lineRule="auto"/>
              <w:ind w:left="0" w:firstLine="0"/>
              <w:jc w:val="left"/>
            </w:pPr>
          </w:p>
        </w:tc>
        <w:tc>
          <w:tcPr>
            <w:tcW w:w="1255" w:type="dxa"/>
            <w:tcBorders>
              <w:top w:val="single" w:sz="3" w:space="0" w:color="D4D4D4"/>
              <w:left w:val="single" w:sz="2" w:space="0" w:color="D4D4D4"/>
              <w:bottom w:val="single" w:sz="5" w:space="0" w:color="0000D0"/>
              <w:right w:val="single" w:sz="2" w:space="0" w:color="D4D4D4"/>
            </w:tcBorders>
          </w:tcPr>
          <w:p w:rsidR="001C682A" w:rsidRDefault="001C682A">
            <w:pPr>
              <w:spacing w:after="160" w:line="259" w:lineRule="auto"/>
              <w:ind w:left="0" w:firstLine="0"/>
              <w:jc w:val="left"/>
            </w:pPr>
          </w:p>
        </w:tc>
        <w:tc>
          <w:tcPr>
            <w:tcW w:w="375" w:type="dxa"/>
            <w:gridSpan w:val="2"/>
            <w:tcBorders>
              <w:top w:val="nil"/>
              <w:left w:val="single" w:sz="2" w:space="0" w:color="D4D4D4"/>
              <w:bottom w:val="single" w:sz="5" w:space="0" w:color="0000D0"/>
              <w:right w:val="single" w:sz="5" w:space="0" w:color="0000D0"/>
            </w:tcBorders>
          </w:tcPr>
          <w:p w:rsidR="001C682A" w:rsidRDefault="001C682A">
            <w:pPr>
              <w:spacing w:after="160" w:line="259" w:lineRule="auto"/>
              <w:ind w:left="0" w:firstLine="0"/>
              <w:jc w:val="left"/>
            </w:pPr>
          </w:p>
        </w:tc>
      </w:tr>
    </w:tbl>
    <w:p w:rsidR="001C682A" w:rsidRDefault="00B03C38">
      <w:pPr>
        <w:pStyle w:val="Heading1"/>
        <w:spacing w:after="4" w:line="252" w:lineRule="auto"/>
        <w:ind w:left="213" w:right="704"/>
      </w:pPr>
      <w:bookmarkStart w:id="102" w:name="_Toc389447"/>
      <w:bookmarkEnd w:id="101"/>
      <w:r>
        <w:rPr>
          <w:rFonts w:ascii="Franklin Gothic Book" w:eastAsia="Franklin Gothic Book" w:hAnsi="Franklin Gothic Book" w:cs="Franklin Gothic Book"/>
          <w:color w:val="000000"/>
        </w:rPr>
        <w:t xml:space="preserve">ANNEXURE 2: TAX EXPENDITURES STATEMENT POLICY OVERVIEW 2019 </w:t>
      </w:r>
      <w:bookmarkEnd w:id="102"/>
    </w:p>
    <w:p w:rsidR="001C682A" w:rsidRDefault="00B03C38">
      <w:pPr>
        <w:spacing w:after="308" w:line="259" w:lineRule="auto"/>
        <w:ind w:left="190" w:firstLine="0"/>
        <w:jc w:val="left"/>
      </w:pPr>
      <w:r>
        <w:rPr>
          <w:rFonts w:ascii="Calibri" w:eastAsia="Calibri" w:hAnsi="Calibri" w:cs="Calibri"/>
          <w:noProof/>
        </w:rPr>
        <mc:AlternateContent>
          <mc:Choice Requires="wpg">
            <w:drawing>
              <wp:inline distT="0" distB="0" distL="0" distR="0">
                <wp:extent cx="5764658" cy="18593"/>
                <wp:effectExtent l="0" t="0" r="0" b="0"/>
                <wp:docPr id="338601" name="Group 338601"/>
                <wp:cNvGraphicFramePr/>
                <a:graphic xmlns:a="http://schemas.openxmlformats.org/drawingml/2006/main">
                  <a:graphicData uri="http://schemas.microsoft.com/office/word/2010/wordprocessingGroup">
                    <wpg:wgp>
                      <wpg:cNvGrpSpPr/>
                      <wpg:grpSpPr>
                        <a:xfrm>
                          <a:off x="0" y="0"/>
                          <a:ext cx="5764658" cy="18593"/>
                          <a:chOff x="0" y="0"/>
                          <a:chExt cx="5764658" cy="18593"/>
                        </a:xfrm>
                      </wpg:grpSpPr>
                      <wps:wsp>
                        <wps:cNvPr id="395849" name="Shape 395849"/>
                        <wps:cNvSpPr/>
                        <wps:spPr>
                          <a:xfrm>
                            <a:off x="0" y="0"/>
                            <a:ext cx="5764658" cy="18593"/>
                          </a:xfrm>
                          <a:custGeom>
                            <a:avLst/>
                            <a:gdLst/>
                            <a:ahLst/>
                            <a:cxnLst/>
                            <a:rect l="0" t="0" r="0" b="0"/>
                            <a:pathLst>
                              <a:path w="5764658" h="18593">
                                <a:moveTo>
                                  <a:pt x="0" y="0"/>
                                </a:moveTo>
                                <a:lnTo>
                                  <a:pt x="5764658" y="0"/>
                                </a:lnTo>
                                <a:lnTo>
                                  <a:pt x="5764658" y="18593"/>
                                </a:lnTo>
                                <a:lnTo>
                                  <a:pt x="0" y="18593"/>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38601" style="width:453.91pt;height:1.46399pt;mso-position-horizontal-relative:char;mso-position-vertical-relative:line" coordsize="57646,185">
                <v:shape id="Shape 395850" style="position:absolute;width:57646;height:185;left:0;top:0;" coordsize="5764658,18593" path="m0,0l5764658,0l5764658,18593l0,18593l0,0">
                  <v:stroke weight="0pt" endcap="flat" joinstyle="miter" miterlimit="10" on="false" color="#000000" opacity="0"/>
                  <v:fill on="true" color="#000080"/>
                </v:shape>
              </v:group>
            </w:pict>
          </mc:Fallback>
        </mc:AlternateContent>
      </w:r>
    </w:p>
    <w:p w:rsidR="001C682A" w:rsidRDefault="00B03C38">
      <w:pPr>
        <w:pStyle w:val="Heading6"/>
        <w:spacing w:after="0" w:line="259" w:lineRule="auto"/>
        <w:ind w:left="218" w:firstLine="0"/>
      </w:pPr>
      <w:r>
        <w:rPr>
          <w:rFonts w:ascii="Calibri" w:eastAsia="Calibri" w:hAnsi="Calibri" w:cs="Calibri"/>
          <w:color w:val="2F5496"/>
          <w:sz w:val="32"/>
        </w:rPr>
        <w:t xml:space="preserve">Contents </w:t>
      </w:r>
    </w:p>
    <w:p w:rsidR="001C682A" w:rsidRDefault="00B03C38">
      <w:pPr>
        <w:spacing w:after="0" w:line="259" w:lineRule="auto"/>
        <w:ind w:left="218" w:firstLine="0"/>
        <w:jc w:val="left"/>
      </w:pPr>
      <w:r>
        <w:rPr>
          <w:rFonts w:ascii="Franklin Gothic Book" w:eastAsia="Franklin Gothic Book" w:hAnsi="Franklin Gothic Book" w:cs="Franklin Gothic Book"/>
          <w:sz w:val="24"/>
        </w:rPr>
        <w:t xml:space="preserve"> </w:t>
      </w:r>
    </w:p>
    <w:p w:rsidR="001C682A" w:rsidRDefault="00B03C38">
      <w:pPr>
        <w:spacing w:after="107" w:line="259" w:lineRule="auto"/>
        <w:ind w:left="218" w:firstLine="0"/>
        <w:jc w:val="left"/>
      </w:pPr>
      <w:r>
        <w:rPr>
          <w:rFonts w:ascii="Franklin Gothic Book" w:eastAsia="Franklin Gothic Book" w:hAnsi="Franklin Gothic Book" w:cs="Franklin Gothic Book"/>
          <w:sz w:val="24"/>
        </w:rPr>
        <w:t xml:space="preserve"> </w:t>
      </w:r>
    </w:p>
    <w:p w:rsidR="001C682A" w:rsidRDefault="00B03C38">
      <w:pPr>
        <w:pStyle w:val="Heading7"/>
        <w:spacing w:after="93" w:line="259" w:lineRule="auto"/>
      </w:pPr>
      <w:r>
        <w:rPr>
          <w:rFonts w:ascii="Calibri" w:eastAsia="Calibri" w:hAnsi="Calibri" w:cs="Calibri"/>
          <w:b/>
          <w:i/>
          <w:color w:val="000000"/>
          <w:sz w:val="24"/>
        </w:rPr>
        <w:t>Preface ........................................................................................................................... 51</w:t>
      </w:r>
      <w:r>
        <w:rPr>
          <w:rFonts w:ascii="Calibri" w:eastAsia="Calibri" w:hAnsi="Calibri" w:cs="Calibri"/>
          <w:b/>
          <w:i/>
          <w:color w:val="000000"/>
          <w:sz w:val="22"/>
        </w:rPr>
        <w:t xml:space="preserve"> </w:t>
      </w:r>
      <w:r>
        <w:rPr>
          <w:rFonts w:ascii="Calibri" w:eastAsia="Calibri" w:hAnsi="Calibri" w:cs="Calibri"/>
          <w:b/>
          <w:i/>
          <w:color w:val="000000"/>
          <w:sz w:val="24"/>
        </w:rPr>
        <w:t>Introduction ................................................................................................................... 51</w:t>
      </w:r>
      <w:r>
        <w:rPr>
          <w:rFonts w:ascii="Calibri" w:eastAsia="Calibri" w:hAnsi="Calibri" w:cs="Calibri"/>
          <w:b/>
          <w:i/>
          <w:color w:val="000000"/>
          <w:sz w:val="22"/>
        </w:rPr>
        <w:t xml:space="preserve"> </w:t>
      </w:r>
    </w:p>
    <w:p w:rsidR="001C682A" w:rsidRDefault="00B03C38">
      <w:pPr>
        <w:pStyle w:val="Heading8"/>
        <w:tabs>
          <w:tab w:val="center" w:pos="312"/>
          <w:tab w:val="center" w:pos="4965"/>
        </w:tabs>
        <w:spacing w:after="93" w:line="259" w:lineRule="auto"/>
        <w:ind w:left="0" w:firstLine="0"/>
      </w:pPr>
      <w:r>
        <w:rPr>
          <w:rFonts w:ascii="Calibri" w:eastAsia="Calibri" w:hAnsi="Calibri" w:cs="Calibri"/>
          <w:color w:val="000000"/>
          <w:sz w:val="22"/>
        </w:rPr>
        <w:tab/>
      </w:r>
      <w:r>
        <w:rPr>
          <w:rFonts w:ascii="Calibri" w:eastAsia="Calibri" w:hAnsi="Calibri" w:cs="Calibri"/>
          <w:b/>
          <w:i/>
          <w:color w:val="000000"/>
          <w:sz w:val="24"/>
        </w:rPr>
        <w:t>1.</w:t>
      </w:r>
      <w:r>
        <w:rPr>
          <w:rFonts w:ascii="Calibri" w:eastAsia="Calibri" w:hAnsi="Calibri" w:cs="Calibri"/>
          <w:b/>
          <w:i/>
          <w:color w:val="000000"/>
          <w:sz w:val="22"/>
        </w:rPr>
        <w:t xml:space="preserve"> </w:t>
      </w:r>
      <w:r>
        <w:rPr>
          <w:rFonts w:ascii="Calibri" w:eastAsia="Calibri" w:hAnsi="Calibri" w:cs="Calibri"/>
          <w:b/>
          <w:i/>
          <w:color w:val="000000"/>
          <w:sz w:val="22"/>
        </w:rPr>
        <w:tab/>
      </w:r>
      <w:r>
        <w:rPr>
          <w:rFonts w:ascii="Calibri" w:eastAsia="Calibri" w:hAnsi="Calibri" w:cs="Calibri"/>
          <w:b/>
          <w:i/>
          <w:color w:val="000000"/>
          <w:sz w:val="24"/>
        </w:rPr>
        <w:t>Legal Framework; Benchmark Tax Treatment and Tax Expenditures ........................ 53</w:t>
      </w:r>
      <w:r>
        <w:rPr>
          <w:rFonts w:ascii="Calibri" w:eastAsia="Calibri" w:hAnsi="Calibri" w:cs="Calibri"/>
          <w:b/>
          <w:i/>
          <w:color w:val="000000"/>
          <w:sz w:val="22"/>
        </w:rPr>
        <w:t xml:space="preserve"> </w:t>
      </w:r>
    </w:p>
    <w:p w:rsidR="001C682A" w:rsidRDefault="00B03C38">
      <w:pPr>
        <w:spacing w:after="112" w:line="259" w:lineRule="auto"/>
        <w:ind w:left="468"/>
        <w:jc w:val="left"/>
      </w:pPr>
      <w:r>
        <w:rPr>
          <w:rFonts w:ascii="Calibri" w:eastAsia="Calibri" w:hAnsi="Calibri" w:cs="Calibri"/>
          <w:b/>
        </w:rPr>
        <w:t xml:space="preserve">1.1. </w:t>
      </w:r>
      <w:r>
        <w:rPr>
          <w:rFonts w:ascii="Calibri" w:eastAsia="Calibri" w:hAnsi="Calibri" w:cs="Calibri"/>
          <w:b/>
        </w:rPr>
        <w:tab/>
        <w:t xml:space="preserve">Legal Framework ......................................................................................................... 53 1.2. </w:t>
      </w:r>
      <w:r>
        <w:rPr>
          <w:rFonts w:ascii="Calibri" w:eastAsia="Calibri" w:hAnsi="Calibri" w:cs="Calibri"/>
          <w:b/>
        </w:rPr>
        <w:tab/>
        <w:t xml:space="preserve">Benchmark Tax Treatment and Tax Expenditures ......................................................... 53 1.3. </w:t>
      </w:r>
      <w:r>
        <w:rPr>
          <w:rFonts w:ascii="Calibri" w:eastAsia="Calibri" w:hAnsi="Calibri" w:cs="Calibri"/>
          <w:b/>
        </w:rPr>
        <w:tab/>
        <w:t xml:space="preserve">Tax Expenditure Evaluation Framework for Nigeria ...................................................... 54 1.4. </w:t>
      </w:r>
      <w:r>
        <w:rPr>
          <w:rFonts w:ascii="Calibri" w:eastAsia="Calibri" w:hAnsi="Calibri" w:cs="Calibri"/>
          <w:b/>
        </w:rPr>
        <w:tab/>
        <w:t xml:space="preserve">Scope Limitation for First Tax Expenditures Statement ................................................. 54 </w:t>
      </w:r>
    </w:p>
    <w:p w:rsidR="001C682A" w:rsidRDefault="00B03C38">
      <w:pPr>
        <w:pStyle w:val="Heading8"/>
        <w:tabs>
          <w:tab w:val="center" w:pos="312"/>
          <w:tab w:val="center" w:pos="4965"/>
        </w:tabs>
        <w:spacing w:after="93" w:line="259" w:lineRule="auto"/>
        <w:ind w:left="0" w:firstLine="0"/>
      </w:pPr>
      <w:r>
        <w:rPr>
          <w:rFonts w:ascii="Calibri" w:eastAsia="Calibri" w:hAnsi="Calibri" w:cs="Calibri"/>
          <w:color w:val="000000"/>
          <w:sz w:val="22"/>
        </w:rPr>
        <w:lastRenderedPageBreak/>
        <w:tab/>
      </w:r>
      <w:r>
        <w:rPr>
          <w:rFonts w:ascii="Calibri" w:eastAsia="Calibri" w:hAnsi="Calibri" w:cs="Calibri"/>
          <w:b/>
          <w:i/>
          <w:color w:val="000000"/>
          <w:sz w:val="24"/>
        </w:rPr>
        <w:t>2.</w:t>
      </w:r>
      <w:r>
        <w:rPr>
          <w:rFonts w:ascii="Calibri" w:eastAsia="Calibri" w:hAnsi="Calibri" w:cs="Calibri"/>
          <w:b/>
          <w:i/>
          <w:color w:val="000000"/>
          <w:sz w:val="22"/>
        </w:rPr>
        <w:t xml:space="preserve"> </w:t>
      </w:r>
      <w:r>
        <w:rPr>
          <w:rFonts w:ascii="Calibri" w:eastAsia="Calibri" w:hAnsi="Calibri" w:cs="Calibri"/>
          <w:b/>
          <w:i/>
          <w:color w:val="000000"/>
          <w:sz w:val="22"/>
        </w:rPr>
        <w:tab/>
      </w:r>
      <w:r>
        <w:rPr>
          <w:rFonts w:ascii="Calibri" w:eastAsia="Calibri" w:hAnsi="Calibri" w:cs="Calibri"/>
          <w:b/>
          <w:i/>
          <w:color w:val="000000"/>
          <w:sz w:val="24"/>
        </w:rPr>
        <w:t xml:space="preserve">Tax Expenditures and Benchmarks Used: Definitions/Estimation Methodologies </w:t>
      </w:r>
      <w:proofErr w:type="gramStart"/>
      <w:r>
        <w:rPr>
          <w:rFonts w:ascii="Calibri" w:eastAsia="Calibri" w:hAnsi="Calibri" w:cs="Calibri"/>
          <w:b/>
          <w:i/>
          <w:color w:val="000000"/>
          <w:sz w:val="24"/>
        </w:rPr>
        <w:t>.....</w:t>
      </w:r>
      <w:proofErr w:type="gramEnd"/>
      <w:r>
        <w:rPr>
          <w:rFonts w:ascii="Calibri" w:eastAsia="Calibri" w:hAnsi="Calibri" w:cs="Calibri"/>
          <w:b/>
          <w:i/>
          <w:color w:val="000000"/>
          <w:sz w:val="24"/>
        </w:rPr>
        <w:t xml:space="preserve"> 55</w:t>
      </w:r>
      <w:r>
        <w:rPr>
          <w:rFonts w:ascii="Calibri" w:eastAsia="Calibri" w:hAnsi="Calibri" w:cs="Calibri"/>
          <w:b/>
          <w:i/>
          <w:color w:val="000000"/>
          <w:sz w:val="22"/>
        </w:rPr>
        <w:t xml:space="preserve"> </w:t>
      </w:r>
    </w:p>
    <w:p w:rsidR="001C682A" w:rsidRDefault="00B03C38">
      <w:pPr>
        <w:spacing w:after="112" w:line="259" w:lineRule="auto"/>
        <w:ind w:left="468"/>
        <w:jc w:val="left"/>
      </w:pPr>
      <w:r>
        <w:rPr>
          <w:rFonts w:ascii="Calibri" w:eastAsia="Calibri" w:hAnsi="Calibri" w:cs="Calibri"/>
          <w:b/>
        </w:rPr>
        <w:t xml:space="preserve">2.1. </w:t>
      </w:r>
      <w:r>
        <w:rPr>
          <w:rFonts w:ascii="Calibri" w:eastAsia="Calibri" w:hAnsi="Calibri" w:cs="Calibri"/>
          <w:b/>
        </w:rPr>
        <w:tab/>
        <w:t xml:space="preserve">Methodological Approach ........................................................................................... 55 2.2. </w:t>
      </w:r>
      <w:r>
        <w:rPr>
          <w:rFonts w:ascii="Calibri" w:eastAsia="Calibri" w:hAnsi="Calibri" w:cs="Calibri"/>
          <w:b/>
        </w:rPr>
        <w:tab/>
        <w:t xml:space="preserve">Data availability and approaches to mitigate data gaps ................................................ 55 2.3. </w:t>
      </w:r>
      <w:r>
        <w:rPr>
          <w:rFonts w:ascii="Calibri" w:eastAsia="Calibri" w:hAnsi="Calibri" w:cs="Calibri"/>
          <w:b/>
        </w:rPr>
        <w:tab/>
        <w:t xml:space="preserve">Value Added Tax Benchmark ....................................................................................... 56 2.4. </w:t>
      </w:r>
      <w:r>
        <w:rPr>
          <w:rFonts w:ascii="Calibri" w:eastAsia="Calibri" w:hAnsi="Calibri" w:cs="Calibri"/>
          <w:b/>
        </w:rPr>
        <w:tab/>
        <w:t xml:space="preserve">Corporate Income Tax Benchmark ............................................................................... 57 </w:t>
      </w:r>
    </w:p>
    <w:p w:rsidR="001C682A" w:rsidRDefault="00B03C38">
      <w:pPr>
        <w:pStyle w:val="Heading8"/>
        <w:tabs>
          <w:tab w:val="center" w:pos="312"/>
          <w:tab w:val="center" w:pos="4965"/>
        </w:tabs>
        <w:spacing w:after="93" w:line="259" w:lineRule="auto"/>
        <w:ind w:left="0" w:firstLine="0"/>
      </w:pPr>
      <w:r>
        <w:rPr>
          <w:rFonts w:ascii="Calibri" w:eastAsia="Calibri" w:hAnsi="Calibri" w:cs="Calibri"/>
          <w:color w:val="000000"/>
          <w:sz w:val="22"/>
        </w:rPr>
        <w:tab/>
      </w:r>
      <w:r>
        <w:rPr>
          <w:rFonts w:ascii="Calibri" w:eastAsia="Calibri" w:hAnsi="Calibri" w:cs="Calibri"/>
          <w:b/>
          <w:i/>
          <w:color w:val="000000"/>
          <w:sz w:val="24"/>
        </w:rPr>
        <w:t xml:space="preserve">3. </w:t>
      </w:r>
      <w:r>
        <w:rPr>
          <w:rFonts w:ascii="Calibri" w:eastAsia="Calibri" w:hAnsi="Calibri" w:cs="Calibri"/>
          <w:b/>
          <w:i/>
          <w:color w:val="000000"/>
          <w:sz w:val="22"/>
        </w:rPr>
        <w:t xml:space="preserve"> </w:t>
      </w:r>
      <w:r>
        <w:rPr>
          <w:rFonts w:ascii="Calibri" w:eastAsia="Calibri" w:hAnsi="Calibri" w:cs="Calibri"/>
          <w:b/>
          <w:i/>
          <w:color w:val="000000"/>
          <w:sz w:val="22"/>
        </w:rPr>
        <w:tab/>
      </w:r>
      <w:r>
        <w:rPr>
          <w:rFonts w:ascii="Calibri" w:eastAsia="Calibri" w:hAnsi="Calibri" w:cs="Calibri"/>
          <w:b/>
          <w:i/>
          <w:color w:val="000000"/>
          <w:sz w:val="24"/>
        </w:rPr>
        <w:t>Revenue Forgone Estimates .................................................................................... 57</w:t>
      </w:r>
      <w:r>
        <w:rPr>
          <w:rFonts w:ascii="Calibri" w:eastAsia="Calibri" w:hAnsi="Calibri" w:cs="Calibri"/>
          <w:b/>
          <w:i/>
          <w:color w:val="000000"/>
          <w:sz w:val="22"/>
        </w:rPr>
        <w:t xml:space="preserve"> </w:t>
      </w:r>
    </w:p>
    <w:p w:rsidR="001C682A" w:rsidRDefault="00B03C38">
      <w:pPr>
        <w:pStyle w:val="Heading9"/>
        <w:tabs>
          <w:tab w:val="center" w:pos="629"/>
          <w:tab w:val="center" w:pos="5165"/>
        </w:tabs>
        <w:spacing w:after="0"/>
        <w:ind w:left="0" w:firstLine="0"/>
      </w:pPr>
      <w:r>
        <w:rPr>
          <w:rFonts w:ascii="Calibri" w:eastAsia="Calibri" w:hAnsi="Calibri" w:cs="Calibri"/>
          <w:i w:val="0"/>
          <w:color w:val="000000"/>
          <w:sz w:val="22"/>
        </w:rPr>
        <w:tab/>
      </w:r>
      <w:r>
        <w:rPr>
          <w:rFonts w:ascii="Calibri" w:eastAsia="Calibri" w:hAnsi="Calibri" w:cs="Calibri"/>
          <w:b/>
          <w:i w:val="0"/>
          <w:color w:val="000000"/>
          <w:sz w:val="22"/>
        </w:rPr>
        <w:t xml:space="preserve">3.1. </w:t>
      </w:r>
      <w:r>
        <w:rPr>
          <w:rFonts w:ascii="Calibri" w:eastAsia="Calibri" w:hAnsi="Calibri" w:cs="Calibri"/>
          <w:b/>
          <w:i w:val="0"/>
          <w:color w:val="000000"/>
          <w:sz w:val="22"/>
        </w:rPr>
        <w:tab/>
        <w:t xml:space="preserve">CIT/PPT revenue forgone estimates ............................................................................. 57 </w:t>
      </w:r>
    </w:p>
    <w:p w:rsidR="001C682A" w:rsidRDefault="00B03C38">
      <w:pPr>
        <w:spacing w:after="0" w:line="259" w:lineRule="auto"/>
        <w:ind w:right="827"/>
        <w:jc w:val="right"/>
      </w:pPr>
      <w:r>
        <w:rPr>
          <w:rFonts w:ascii="Calibri" w:eastAsia="Calibri" w:hAnsi="Calibri" w:cs="Calibri"/>
          <w:sz w:val="20"/>
        </w:rPr>
        <w:t>3.1.1. Preliminary estimate of CIT forgone ................................................................................................. 57</w:t>
      </w:r>
      <w:r>
        <w:rPr>
          <w:rFonts w:ascii="Calibri" w:eastAsia="Calibri" w:hAnsi="Calibri" w:cs="Calibri"/>
        </w:rPr>
        <w:t xml:space="preserve"> </w:t>
      </w:r>
    </w:p>
    <w:p w:rsidR="001C682A" w:rsidRDefault="00B03C38">
      <w:pPr>
        <w:spacing w:after="0" w:line="259" w:lineRule="auto"/>
        <w:ind w:right="827"/>
        <w:jc w:val="right"/>
      </w:pPr>
      <w:r>
        <w:rPr>
          <w:rFonts w:ascii="Calibri" w:eastAsia="Calibri" w:hAnsi="Calibri" w:cs="Calibri"/>
          <w:sz w:val="20"/>
        </w:rPr>
        <w:t>3.1.2. Methodology ..................................................................................................................................... 58</w:t>
      </w:r>
      <w:r>
        <w:rPr>
          <w:rFonts w:ascii="Calibri" w:eastAsia="Calibri" w:hAnsi="Calibri" w:cs="Calibri"/>
        </w:rPr>
        <w:t xml:space="preserve"> </w:t>
      </w:r>
    </w:p>
    <w:p w:rsidR="001C682A" w:rsidRDefault="00B03C38">
      <w:pPr>
        <w:spacing w:after="111" w:line="259" w:lineRule="auto"/>
        <w:ind w:right="827"/>
        <w:jc w:val="right"/>
      </w:pPr>
      <w:r>
        <w:rPr>
          <w:rFonts w:ascii="Calibri" w:eastAsia="Calibri" w:hAnsi="Calibri" w:cs="Calibri"/>
          <w:sz w:val="20"/>
        </w:rPr>
        <w:t>3.1.3. Caveats .............................................................................................................................................. 58</w:t>
      </w:r>
      <w:r>
        <w:rPr>
          <w:rFonts w:ascii="Calibri" w:eastAsia="Calibri" w:hAnsi="Calibri" w:cs="Calibri"/>
        </w:rPr>
        <w:t xml:space="preserve"> </w:t>
      </w:r>
    </w:p>
    <w:p w:rsidR="001C682A" w:rsidRDefault="00B03C38">
      <w:pPr>
        <w:tabs>
          <w:tab w:val="center" w:pos="629"/>
          <w:tab w:val="center" w:pos="5165"/>
        </w:tabs>
        <w:spacing w:after="112" w:line="259" w:lineRule="auto"/>
        <w:ind w:left="0" w:firstLine="0"/>
        <w:jc w:val="left"/>
      </w:pPr>
      <w:r>
        <w:rPr>
          <w:rFonts w:ascii="Calibri" w:eastAsia="Calibri" w:hAnsi="Calibri" w:cs="Calibri"/>
        </w:rPr>
        <w:tab/>
      </w:r>
      <w:r>
        <w:rPr>
          <w:rFonts w:ascii="Calibri" w:eastAsia="Calibri" w:hAnsi="Calibri" w:cs="Calibri"/>
          <w:b/>
        </w:rPr>
        <w:t xml:space="preserve">3.2. </w:t>
      </w:r>
      <w:r>
        <w:rPr>
          <w:rFonts w:ascii="Calibri" w:eastAsia="Calibri" w:hAnsi="Calibri" w:cs="Calibri"/>
          <w:b/>
        </w:rPr>
        <w:tab/>
        <w:t xml:space="preserve">VAT forgone revenue estimates ................................................................................... 58 </w:t>
      </w:r>
    </w:p>
    <w:p w:rsidR="001C682A" w:rsidRDefault="00B03C38">
      <w:pPr>
        <w:tabs>
          <w:tab w:val="center" w:pos="312"/>
          <w:tab w:val="center" w:pos="4965"/>
        </w:tabs>
        <w:spacing w:after="0" w:line="259" w:lineRule="auto"/>
        <w:ind w:left="0" w:firstLine="0"/>
        <w:jc w:val="left"/>
      </w:pPr>
      <w:r>
        <w:rPr>
          <w:rFonts w:ascii="Calibri" w:eastAsia="Calibri" w:hAnsi="Calibri" w:cs="Calibri"/>
        </w:rPr>
        <w:tab/>
      </w:r>
      <w:r>
        <w:rPr>
          <w:rFonts w:ascii="Calibri" w:eastAsia="Calibri" w:hAnsi="Calibri" w:cs="Calibri"/>
          <w:b/>
          <w:i/>
          <w:sz w:val="24"/>
        </w:rPr>
        <w:t xml:space="preserve">4. </w:t>
      </w:r>
      <w:r>
        <w:rPr>
          <w:rFonts w:ascii="Calibri" w:eastAsia="Calibri" w:hAnsi="Calibri" w:cs="Calibri"/>
          <w:b/>
          <w:i/>
        </w:rPr>
        <w:t xml:space="preserve"> </w:t>
      </w:r>
      <w:r>
        <w:rPr>
          <w:rFonts w:ascii="Calibri" w:eastAsia="Calibri" w:hAnsi="Calibri" w:cs="Calibri"/>
          <w:b/>
          <w:i/>
        </w:rPr>
        <w:tab/>
      </w:r>
      <w:r>
        <w:rPr>
          <w:rFonts w:ascii="Calibri" w:eastAsia="Calibri" w:hAnsi="Calibri" w:cs="Calibri"/>
          <w:b/>
          <w:i/>
          <w:sz w:val="24"/>
        </w:rPr>
        <w:t>Conclusions ............................................................................................................. 59</w:t>
      </w:r>
      <w:r>
        <w:rPr>
          <w:rFonts w:ascii="Calibri" w:eastAsia="Calibri" w:hAnsi="Calibri" w:cs="Calibri"/>
          <w:b/>
          <w:i/>
        </w:rPr>
        <w:t xml:space="preserve"> </w:t>
      </w:r>
    </w:p>
    <w:p w:rsidR="001C682A" w:rsidRDefault="00B03C38">
      <w:pPr>
        <w:spacing w:after="0" w:line="259" w:lineRule="auto"/>
        <w:ind w:left="218" w:firstLine="0"/>
        <w:jc w:val="left"/>
      </w:pPr>
      <w:r>
        <w:rPr>
          <w:rFonts w:ascii="Franklin Gothic Book" w:eastAsia="Franklin Gothic Book" w:hAnsi="Franklin Gothic Book" w:cs="Franklin Gothic Book"/>
          <w:sz w:val="24"/>
        </w:rPr>
        <w:t xml:space="preserve"> </w:t>
      </w:r>
    </w:p>
    <w:p w:rsidR="001C682A" w:rsidRDefault="00B03C38">
      <w:pPr>
        <w:spacing w:after="0" w:line="259" w:lineRule="auto"/>
        <w:ind w:left="218"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1C682A" w:rsidRDefault="00B03C38">
      <w:pPr>
        <w:pStyle w:val="Heading7"/>
        <w:spacing w:after="4" w:line="252" w:lineRule="auto"/>
        <w:ind w:left="213" w:right="704"/>
      </w:pPr>
      <w:r>
        <w:rPr>
          <w:rFonts w:ascii="Franklin Gothic Book" w:eastAsia="Franklin Gothic Book" w:hAnsi="Franklin Gothic Book" w:cs="Franklin Gothic Book"/>
          <w:color w:val="000000"/>
        </w:rPr>
        <w:t xml:space="preserve">PREFACE </w:t>
      </w:r>
    </w:p>
    <w:p w:rsidR="001C682A" w:rsidRDefault="00B03C38">
      <w:pPr>
        <w:spacing w:after="254" w:line="259" w:lineRule="auto"/>
        <w:ind w:left="190" w:firstLine="0"/>
        <w:jc w:val="left"/>
      </w:pPr>
      <w:r>
        <w:rPr>
          <w:rFonts w:ascii="Calibri" w:eastAsia="Calibri" w:hAnsi="Calibri" w:cs="Calibri"/>
          <w:noProof/>
        </w:rPr>
        <mc:AlternateContent>
          <mc:Choice Requires="wpg">
            <w:drawing>
              <wp:inline distT="0" distB="0" distL="0" distR="0">
                <wp:extent cx="5764658" cy="18593"/>
                <wp:effectExtent l="0" t="0" r="0" b="0"/>
                <wp:docPr id="340190" name="Group 340190"/>
                <wp:cNvGraphicFramePr/>
                <a:graphic xmlns:a="http://schemas.openxmlformats.org/drawingml/2006/main">
                  <a:graphicData uri="http://schemas.microsoft.com/office/word/2010/wordprocessingGroup">
                    <wpg:wgp>
                      <wpg:cNvGrpSpPr/>
                      <wpg:grpSpPr>
                        <a:xfrm>
                          <a:off x="0" y="0"/>
                          <a:ext cx="5764658" cy="18593"/>
                          <a:chOff x="0" y="0"/>
                          <a:chExt cx="5764658" cy="18593"/>
                        </a:xfrm>
                      </wpg:grpSpPr>
                      <wps:wsp>
                        <wps:cNvPr id="395851" name="Shape 395851"/>
                        <wps:cNvSpPr/>
                        <wps:spPr>
                          <a:xfrm>
                            <a:off x="0" y="0"/>
                            <a:ext cx="5764658" cy="18593"/>
                          </a:xfrm>
                          <a:custGeom>
                            <a:avLst/>
                            <a:gdLst/>
                            <a:ahLst/>
                            <a:cxnLst/>
                            <a:rect l="0" t="0" r="0" b="0"/>
                            <a:pathLst>
                              <a:path w="5764658" h="18593">
                                <a:moveTo>
                                  <a:pt x="0" y="0"/>
                                </a:moveTo>
                                <a:lnTo>
                                  <a:pt x="5764658" y="0"/>
                                </a:lnTo>
                                <a:lnTo>
                                  <a:pt x="5764658" y="18593"/>
                                </a:lnTo>
                                <a:lnTo>
                                  <a:pt x="0" y="18593"/>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40190" style="width:453.91pt;height:1.46399pt;mso-position-horizontal-relative:char;mso-position-vertical-relative:line" coordsize="57646,185">
                <v:shape id="Shape 395852" style="position:absolute;width:57646;height:185;left:0;top:0;" coordsize="5764658,18593" path="m0,0l5764658,0l5764658,18593l0,18593l0,0">
                  <v:stroke weight="0pt" endcap="flat" joinstyle="miter" miterlimit="10" on="false" color="#000000" opacity="0"/>
                  <v:fill on="true" color="#000080"/>
                </v:shape>
              </v:group>
            </w:pict>
          </mc:Fallback>
        </mc:AlternateContent>
      </w:r>
    </w:p>
    <w:p w:rsidR="001C682A" w:rsidRDefault="00B03C38">
      <w:pPr>
        <w:ind w:left="236" w:right="816"/>
      </w:pPr>
      <w:r>
        <w:t xml:space="preserve">The annual Tax Expenditures Statement (the “Statement”) sets out the estimated cost of tax expenditures provided under Nigeria’s revenue and other laws. The preparation of the Statement is a requirement under the Fiscal Responsibility Act, 2007 (“FRA 2007”). The Statement is to be prepared in accordance with the process specified in the Call Circular issued on 30 April 2020 by the </w:t>
      </w:r>
      <w:proofErr w:type="spellStart"/>
      <w:r>
        <w:t>Honorable</w:t>
      </w:r>
      <w:proofErr w:type="spellEnd"/>
      <w:r>
        <w:t xml:space="preserve"> Minister of Finance, Budget and National Planning. The 2019 Statement will be the first of what will be annual Statements. </w:t>
      </w:r>
    </w:p>
    <w:p w:rsidR="001C682A" w:rsidRDefault="00B03C38">
      <w:pPr>
        <w:spacing w:after="0" w:line="259" w:lineRule="auto"/>
        <w:ind w:left="218" w:firstLine="0"/>
        <w:jc w:val="left"/>
      </w:pPr>
      <w:r>
        <w:t xml:space="preserve"> </w:t>
      </w:r>
    </w:p>
    <w:p w:rsidR="001C682A" w:rsidRDefault="00B03C38">
      <w:pPr>
        <w:ind w:left="236" w:right="816"/>
      </w:pPr>
      <w:r>
        <w:t xml:space="preserve">Tax expenditure reporting is international best practice as it improves budgetary and fiscal transparency and the Statement will become a central component of the Federal Government’s reporting on the Nigerian tax system. The Statement is designed to provide an estimate of the cost of the main tax expenditures for the 2019 year in terms of revenue forgone. In accordance with FRA 2007, the Statement should also provide an indicative estimate of the cost of the main tax expenditures for the following three years. The 2019 Statement will focus only on the main tax expenditures, but, over time, a more comprehensive annual Statement will be prepared. It is intended that the Statement will contribute to public discussion on the Government’s tax policies and the use of the tax system to achieve the Government’s social and economic policy objectives. </w:t>
      </w:r>
    </w:p>
    <w:p w:rsidR="001C682A" w:rsidRDefault="00B03C38">
      <w:pPr>
        <w:spacing w:after="0" w:line="259" w:lineRule="auto"/>
        <w:ind w:left="218" w:firstLine="0"/>
        <w:jc w:val="left"/>
      </w:pPr>
      <w:r>
        <w:t xml:space="preserve"> </w:t>
      </w:r>
    </w:p>
    <w:p w:rsidR="001C682A" w:rsidRDefault="00B03C38">
      <w:pPr>
        <w:spacing w:after="380"/>
        <w:ind w:left="236" w:right="816"/>
      </w:pPr>
      <w:r>
        <w:t xml:space="preserve">This Policy Overview outlines the requirements of the Statement and delivers preliminary estimates of revenues forgone from CIT and VAT. These insights are intended to support the Government’s Medium-Term Expenditure Framework (MTEF) and provide directional policy guidance. The Government agencies charged with responsibility for the Statement will continue to work during the summer of 2020 to ensure that the first annual Statement is submitted with the Budget papers as required by FRA 2007. It is also intended that a separate Tax Policy Recommendations memo will be presented based on the insights from the Statement. </w:t>
      </w:r>
    </w:p>
    <w:p w:rsidR="001C682A" w:rsidRDefault="00B03C38">
      <w:pPr>
        <w:pStyle w:val="Heading7"/>
        <w:spacing w:after="4" w:line="252" w:lineRule="auto"/>
        <w:ind w:left="213" w:right="704"/>
      </w:pPr>
      <w:r>
        <w:rPr>
          <w:rFonts w:ascii="Franklin Gothic Book" w:eastAsia="Franklin Gothic Book" w:hAnsi="Franklin Gothic Book" w:cs="Franklin Gothic Book"/>
          <w:color w:val="000000"/>
        </w:rPr>
        <w:t xml:space="preserve">INTRODUCTION </w:t>
      </w:r>
    </w:p>
    <w:p w:rsidR="001C682A" w:rsidRDefault="00B03C38">
      <w:pPr>
        <w:spacing w:after="249" w:line="259" w:lineRule="auto"/>
        <w:ind w:left="190" w:firstLine="0"/>
        <w:jc w:val="left"/>
      </w:pPr>
      <w:r>
        <w:rPr>
          <w:rFonts w:ascii="Calibri" w:eastAsia="Calibri" w:hAnsi="Calibri" w:cs="Calibri"/>
          <w:noProof/>
        </w:rPr>
        <mc:AlternateContent>
          <mc:Choice Requires="wpg">
            <w:drawing>
              <wp:inline distT="0" distB="0" distL="0" distR="0">
                <wp:extent cx="5764658" cy="18288"/>
                <wp:effectExtent l="0" t="0" r="0" b="0"/>
                <wp:docPr id="340191" name="Group 340191"/>
                <wp:cNvGraphicFramePr/>
                <a:graphic xmlns:a="http://schemas.openxmlformats.org/drawingml/2006/main">
                  <a:graphicData uri="http://schemas.microsoft.com/office/word/2010/wordprocessingGroup">
                    <wpg:wgp>
                      <wpg:cNvGrpSpPr/>
                      <wpg:grpSpPr>
                        <a:xfrm>
                          <a:off x="0" y="0"/>
                          <a:ext cx="5764658" cy="18288"/>
                          <a:chOff x="0" y="0"/>
                          <a:chExt cx="5764658" cy="18288"/>
                        </a:xfrm>
                      </wpg:grpSpPr>
                      <wps:wsp>
                        <wps:cNvPr id="395853" name="Shape 395853"/>
                        <wps:cNvSpPr/>
                        <wps:spPr>
                          <a:xfrm>
                            <a:off x="0" y="0"/>
                            <a:ext cx="5764658" cy="18288"/>
                          </a:xfrm>
                          <a:custGeom>
                            <a:avLst/>
                            <a:gdLst/>
                            <a:ahLst/>
                            <a:cxnLst/>
                            <a:rect l="0" t="0" r="0" b="0"/>
                            <a:pathLst>
                              <a:path w="5764658" h="18288">
                                <a:moveTo>
                                  <a:pt x="0" y="0"/>
                                </a:moveTo>
                                <a:lnTo>
                                  <a:pt x="5764658" y="0"/>
                                </a:lnTo>
                                <a:lnTo>
                                  <a:pt x="5764658" y="18288"/>
                                </a:lnTo>
                                <a:lnTo>
                                  <a:pt x="0" y="1828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40191" style="width:453.91pt;height:1.44pt;mso-position-horizontal-relative:char;mso-position-vertical-relative:line" coordsize="57646,182">
                <v:shape id="Shape 395854" style="position:absolute;width:57646;height:182;left:0;top:0;" coordsize="5764658,18288" path="m0,0l5764658,0l5764658,18288l0,18288l0,0">
                  <v:stroke weight="0pt" endcap="flat" joinstyle="miter" miterlimit="10" on="false" color="#000000" opacity="0"/>
                  <v:fill on="true" color="#000080"/>
                </v:shape>
              </v:group>
            </w:pict>
          </mc:Fallback>
        </mc:AlternateContent>
      </w:r>
    </w:p>
    <w:p w:rsidR="001C682A" w:rsidRDefault="00B03C38">
      <w:pPr>
        <w:ind w:left="236" w:right="816"/>
      </w:pPr>
      <w:r>
        <w:lastRenderedPageBreak/>
        <w:t xml:space="preserve">The principal purpose of the tax system is to raise revenue to finance Government expenditure. The tax system can include concessionary measures aimed at achieving the Government’s policy goals but at the cost of lower tax revenues. The lower tax revenue resulting from these tax measures is an indirect way of incurring Government expenditure and these measures are thus referred to as “tax expenditures”. Because they distort relative prices, tax expenditures create incentives for persons to change </w:t>
      </w:r>
      <w:proofErr w:type="spellStart"/>
      <w:r>
        <w:t>behavior</w:t>
      </w:r>
      <w:proofErr w:type="spellEnd"/>
      <w:r>
        <w:t xml:space="preserve">. This makes tax expenditures effective tools for incentivizing the decisions of individuals and firms; however, these incentives make the tax system non-neutral and can result in sub-optimal decisions. Consequently, as with direct Government expenditure, the policy objectives underlying individual tax expenditures must be clearly understood and the associated costs monitored. It is equally important that, when granting tax incentives, a mechanism to monitor the policy outcomes is implemented.   </w:t>
      </w:r>
    </w:p>
    <w:p w:rsidR="001C682A" w:rsidRDefault="00B03C38">
      <w:pPr>
        <w:spacing w:after="0" w:line="259" w:lineRule="auto"/>
        <w:ind w:left="218" w:firstLine="0"/>
        <w:jc w:val="left"/>
      </w:pPr>
      <w:r>
        <w:t xml:space="preserve">  </w:t>
      </w:r>
    </w:p>
    <w:p w:rsidR="001C682A" w:rsidRDefault="00B03C38">
      <w:pPr>
        <w:ind w:left="236" w:right="816"/>
      </w:pPr>
      <w:r>
        <w:t xml:space="preserve">Tax expenditures should be managed with equal rigor as Budget appropriations – in the same ways as Budget financial outlays are subject to strong controls to prevent abuse and waste. Nigeria’s commitment to this global best practice is enshrined in FRA 2007. The computations presented in this Overview are illustrative of taxes forgone and the potential magnitude of tax expenditures.  </w:t>
      </w:r>
    </w:p>
    <w:p w:rsidR="001C682A" w:rsidRDefault="00B03C38">
      <w:pPr>
        <w:spacing w:after="0" w:line="259" w:lineRule="auto"/>
        <w:ind w:left="218" w:firstLine="0"/>
        <w:jc w:val="left"/>
      </w:pPr>
      <w:r>
        <w:t xml:space="preserve">  </w:t>
      </w:r>
    </w:p>
    <w:p w:rsidR="001C682A" w:rsidRDefault="00B03C38">
      <w:pPr>
        <w:ind w:left="236" w:right="816"/>
      </w:pPr>
      <w:r>
        <w:t xml:space="preserve">The Statement supplements the Government’s Annual Budget by providing information on the cost of tax expenditures. The Annual Budget focuses on fiscal expenditures and all sources of income including the tax revenue that the Government collects under the tax laws whereas the Statement focuses on the revenue that the Government forgoes due to tax expenditures. </w:t>
      </w:r>
    </w:p>
    <w:p w:rsidR="001C682A" w:rsidRDefault="00B03C38">
      <w:pPr>
        <w:ind w:left="236" w:right="816"/>
      </w:pPr>
      <w:r>
        <w:t xml:space="preserve">The purpose of the Statement is to provide data on the cost of tax expenditures for the purposes of evaluating the effectiveness of individual tax expenditures in achieving their policy goals. In other words, the Statement facilitates the undertaking of a cost/benefit analysis of tax expenditures. Ultimately, the Statement will provide for greater transparency, and inform discussion on the equity and efficiency of the tax system. As required under FRA 2007, the Statement will also include an indicative estimate of the cost of the main tax expenditures for the following three years. </w:t>
      </w:r>
    </w:p>
    <w:p w:rsidR="001C682A" w:rsidRDefault="00B03C38">
      <w:pPr>
        <w:spacing w:after="0" w:line="259" w:lineRule="auto"/>
        <w:ind w:left="218" w:firstLine="0"/>
        <w:jc w:val="left"/>
      </w:pPr>
      <w:r>
        <w:t xml:space="preserve"> </w:t>
      </w:r>
    </w:p>
    <w:p w:rsidR="001C682A" w:rsidRDefault="00B03C38">
      <w:pPr>
        <w:ind w:left="236" w:right="816"/>
      </w:pPr>
      <w:r>
        <w:t xml:space="preserve">It is not the purpose of the Annual Budget to evaluate direct Government expenditures; that is a process separate from the Budget. Importantly, the same applies for the Statement; it is not the purpose of the Statement to evaluate tax expenditures, but, rather, to provide estimates that can be used to evaluate tax expenditures. Proper management of tax expenditures is likely to improve revenue collections. </w:t>
      </w:r>
    </w:p>
    <w:p w:rsidR="001C682A" w:rsidRDefault="00B03C38">
      <w:pPr>
        <w:spacing w:after="0" w:line="259" w:lineRule="auto"/>
        <w:ind w:left="218" w:firstLine="0"/>
        <w:jc w:val="left"/>
      </w:pPr>
      <w:r>
        <w:t xml:space="preserve">  </w:t>
      </w:r>
    </w:p>
    <w:p w:rsidR="001C682A" w:rsidRDefault="00B03C38">
      <w:pPr>
        <w:ind w:left="236" w:right="816"/>
      </w:pPr>
      <w:r>
        <w:t xml:space="preserve">This Statement Policy overview is confined to revenue forgone on VAT and CIT. The document lists the provisions in the revenue and other laws that depart from the benchmark tax treatment (i.e. tax expenditures) for the VAT and CIT and estimates the tax forgone for the 2019 year. The estimate of the future costs of tax expenditures are indicative because of the factors mentioned in Section 2.1 below.  </w:t>
      </w:r>
    </w:p>
    <w:p w:rsidR="001C682A" w:rsidRDefault="00B03C38">
      <w:pPr>
        <w:spacing w:after="0" w:line="259" w:lineRule="auto"/>
        <w:ind w:left="218" w:firstLine="0"/>
        <w:jc w:val="left"/>
      </w:pPr>
      <w:r>
        <w:t xml:space="preserve"> </w:t>
      </w:r>
    </w:p>
    <w:p w:rsidR="001C682A" w:rsidRDefault="00B03C38">
      <w:pPr>
        <w:ind w:left="236" w:right="816"/>
      </w:pPr>
      <w:r>
        <w:t xml:space="preserve">There are three steps involved in the preparation of the estimates in the Statement: </w:t>
      </w:r>
    </w:p>
    <w:p w:rsidR="001C682A" w:rsidRDefault="00B03C38">
      <w:pPr>
        <w:spacing w:after="0" w:line="259" w:lineRule="auto"/>
        <w:ind w:left="218" w:firstLine="0"/>
        <w:jc w:val="left"/>
      </w:pPr>
      <w:r>
        <w:t xml:space="preserve"> </w:t>
      </w:r>
    </w:p>
    <w:p w:rsidR="001C682A" w:rsidRDefault="00B03C38">
      <w:pPr>
        <w:numPr>
          <w:ilvl w:val="0"/>
          <w:numId w:val="11"/>
        </w:numPr>
        <w:ind w:right="816" w:hanging="720"/>
      </w:pPr>
      <w:r>
        <w:t xml:space="preserve">The determination of the benchmark tax treatment for the relevant tax. </w:t>
      </w:r>
    </w:p>
    <w:p w:rsidR="001C682A" w:rsidRDefault="00B03C38">
      <w:pPr>
        <w:spacing w:after="0" w:line="259" w:lineRule="auto"/>
        <w:ind w:left="218" w:firstLine="0"/>
        <w:jc w:val="left"/>
      </w:pPr>
      <w:r>
        <w:t xml:space="preserve"> </w:t>
      </w:r>
    </w:p>
    <w:p w:rsidR="001C682A" w:rsidRDefault="00B03C38">
      <w:pPr>
        <w:numPr>
          <w:ilvl w:val="0"/>
          <w:numId w:val="11"/>
        </w:numPr>
        <w:ind w:right="816" w:hanging="720"/>
      </w:pPr>
      <w:r>
        <w:t xml:space="preserve">The identification of departures from the benchmark tax treatment (i.e. tax expenditures). </w:t>
      </w:r>
    </w:p>
    <w:p w:rsidR="001C682A" w:rsidRDefault="00B03C38">
      <w:pPr>
        <w:spacing w:after="0" w:line="259" w:lineRule="auto"/>
        <w:ind w:left="218" w:firstLine="0"/>
        <w:jc w:val="left"/>
      </w:pPr>
      <w:r>
        <w:lastRenderedPageBreak/>
        <w:t xml:space="preserve"> </w:t>
      </w:r>
    </w:p>
    <w:p w:rsidR="001C682A" w:rsidRDefault="00B03C38">
      <w:pPr>
        <w:numPr>
          <w:ilvl w:val="0"/>
          <w:numId w:val="11"/>
        </w:numPr>
        <w:ind w:right="816" w:hanging="720"/>
      </w:pPr>
      <w:r>
        <w:t xml:space="preserve">The estimation of the cost of tax expenditures in terms of revenue forgone. </w:t>
      </w:r>
    </w:p>
    <w:p w:rsidR="001C682A" w:rsidRDefault="00B03C38">
      <w:pPr>
        <w:spacing w:after="0" w:line="259" w:lineRule="auto"/>
        <w:ind w:left="218" w:firstLine="0"/>
        <w:jc w:val="left"/>
      </w:pPr>
      <w:r>
        <w:t xml:space="preserve"> </w:t>
      </w:r>
    </w:p>
    <w:p w:rsidR="001C682A" w:rsidRDefault="00B03C38">
      <w:pPr>
        <w:ind w:left="236" w:right="816"/>
      </w:pPr>
      <w:r>
        <w:t xml:space="preserve">While the current analysis is against a benchmark based on current law, a separate analysis against global best practices benchmarks may show the full potential of revenue. As mentioned above, good analysis and management can drive better revenue collections. The preliminary calculations in this Policy Overview suggest that Nigeria’s non-oil revenue potential is at least double its current collections. Revenue forgone from Customs Duty, Excises, Petroleum Production Tax, Personal Income Tax and concessions under the Oil and Gas Zones legislation remains to be computed. Further, current estimates will be improved in the statement as disaggregated data becomes available. </w:t>
      </w:r>
    </w:p>
    <w:p w:rsidR="001C682A" w:rsidRDefault="00B03C38">
      <w:pPr>
        <w:spacing w:after="0" w:line="259" w:lineRule="auto"/>
        <w:ind w:left="218" w:firstLine="0"/>
        <w:jc w:val="left"/>
      </w:pPr>
      <w:r>
        <w:t xml:space="preserve"> </w:t>
      </w:r>
    </w:p>
    <w:p w:rsidR="001C682A" w:rsidRDefault="00B03C38">
      <w:pPr>
        <w:ind w:left="236" w:right="816"/>
      </w:pPr>
      <w:r>
        <w:t xml:space="preserve">The Policy Overview is divided into three parts: </w:t>
      </w:r>
    </w:p>
    <w:p w:rsidR="001C682A" w:rsidRDefault="00B03C38">
      <w:pPr>
        <w:spacing w:after="0" w:line="259" w:lineRule="auto"/>
        <w:ind w:left="218" w:firstLine="0"/>
        <w:jc w:val="left"/>
      </w:pPr>
      <w:r>
        <w:t xml:space="preserve"> </w:t>
      </w:r>
    </w:p>
    <w:p w:rsidR="001C682A" w:rsidRDefault="00B03C38">
      <w:pPr>
        <w:numPr>
          <w:ilvl w:val="0"/>
          <w:numId w:val="12"/>
        </w:numPr>
        <w:ind w:right="816" w:hanging="720"/>
      </w:pPr>
      <w:r>
        <w:t xml:space="preserve">Part 1 sets out the legislative requirements for the Statement and explains the key concepts of “benchmark tax treatment” and “tax expenditure”. </w:t>
      </w:r>
    </w:p>
    <w:p w:rsidR="001C682A" w:rsidRDefault="00B03C38">
      <w:pPr>
        <w:spacing w:after="0" w:line="259" w:lineRule="auto"/>
        <w:ind w:left="218" w:firstLine="0"/>
        <w:jc w:val="left"/>
      </w:pPr>
      <w:r>
        <w:t xml:space="preserve"> </w:t>
      </w:r>
    </w:p>
    <w:p w:rsidR="001C682A" w:rsidRDefault="00B03C38">
      <w:pPr>
        <w:numPr>
          <w:ilvl w:val="0"/>
          <w:numId w:val="12"/>
        </w:numPr>
        <w:ind w:right="816" w:hanging="720"/>
      </w:pPr>
      <w:r>
        <w:t xml:space="preserve">Part 2 sets out the benchmark tax treatment for the VAT and CIT, and the methodology used to estimate the cost of VAT and CIT tax expenditures. </w:t>
      </w:r>
    </w:p>
    <w:p w:rsidR="001C682A" w:rsidRDefault="00B03C38">
      <w:pPr>
        <w:spacing w:after="0" w:line="259" w:lineRule="auto"/>
        <w:ind w:left="218" w:firstLine="0"/>
        <w:jc w:val="left"/>
      </w:pPr>
      <w:r>
        <w:t xml:space="preserve"> </w:t>
      </w:r>
    </w:p>
    <w:p w:rsidR="001C682A" w:rsidRDefault="00B03C38">
      <w:pPr>
        <w:numPr>
          <w:ilvl w:val="0"/>
          <w:numId w:val="12"/>
        </w:numPr>
        <w:ind w:right="816" w:hanging="720"/>
      </w:pPr>
      <w:r>
        <w:t xml:space="preserve">Part 3 sets out the revenue forgone estimates and projections for CIT and VAT. </w:t>
      </w:r>
    </w:p>
    <w:p w:rsidR="001C682A" w:rsidRDefault="00B03C38">
      <w:pPr>
        <w:spacing w:after="0" w:line="259" w:lineRule="auto"/>
        <w:ind w:left="218" w:firstLine="0"/>
        <w:jc w:val="left"/>
      </w:pPr>
      <w:r>
        <w:t xml:space="preserve"> </w:t>
      </w:r>
    </w:p>
    <w:p w:rsidR="001C682A" w:rsidRDefault="00B03C38">
      <w:pPr>
        <w:spacing w:after="0" w:line="259" w:lineRule="auto"/>
        <w:ind w:left="218" w:firstLine="0"/>
        <w:jc w:val="left"/>
      </w:pPr>
      <w:r>
        <w:t xml:space="preserve"> </w:t>
      </w:r>
    </w:p>
    <w:p w:rsidR="001C682A" w:rsidRDefault="00B03C38">
      <w:pPr>
        <w:spacing w:after="0" w:line="259" w:lineRule="auto"/>
        <w:ind w:left="218" w:firstLine="0"/>
        <w:jc w:val="left"/>
      </w:pPr>
      <w:r>
        <w:t xml:space="preserve"> </w:t>
      </w:r>
    </w:p>
    <w:p w:rsidR="001C682A" w:rsidRDefault="00B03C38">
      <w:pPr>
        <w:spacing w:after="0" w:line="259" w:lineRule="auto"/>
        <w:ind w:left="218" w:firstLine="0"/>
        <w:jc w:val="left"/>
      </w:pPr>
      <w:r>
        <w:t xml:space="preserve"> </w:t>
      </w:r>
    </w:p>
    <w:p w:rsidR="001C682A" w:rsidRDefault="00B03C38">
      <w:pPr>
        <w:spacing w:after="0" w:line="259" w:lineRule="auto"/>
        <w:ind w:left="218" w:firstLine="0"/>
        <w:jc w:val="left"/>
      </w:pPr>
      <w:r>
        <w:t xml:space="preserve"> </w:t>
      </w:r>
    </w:p>
    <w:p w:rsidR="001C682A" w:rsidRDefault="00B03C38">
      <w:pPr>
        <w:spacing w:after="0" w:line="259" w:lineRule="auto"/>
        <w:ind w:left="218" w:firstLine="0"/>
        <w:jc w:val="left"/>
      </w:pPr>
      <w:r>
        <w:t xml:space="preserve"> </w:t>
      </w:r>
    </w:p>
    <w:p w:rsidR="001C682A" w:rsidRDefault="00B03C38">
      <w:pPr>
        <w:tabs>
          <w:tab w:val="center" w:pos="311"/>
          <w:tab w:val="center" w:pos="4853"/>
        </w:tabs>
        <w:spacing w:after="10" w:line="249" w:lineRule="auto"/>
        <w:ind w:left="0" w:firstLine="0"/>
        <w:jc w:val="left"/>
      </w:pPr>
      <w:r>
        <w:rPr>
          <w:rFonts w:ascii="Calibri" w:eastAsia="Calibri" w:hAnsi="Calibri" w:cs="Calibri"/>
        </w:rPr>
        <w:tab/>
      </w:r>
      <w:r>
        <w:rPr>
          <w:rFonts w:ascii="Franklin Gothic Book" w:eastAsia="Franklin Gothic Book" w:hAnsi="Franklin Gothic Book" w:cs="Franklin Gothic Book"/>
        </w:rPr>
        <w:t xml:space="preserve">1. </w:t>
      </w:r>
      <w:r>
        <w:rPr>
          <w:rFonts w:ascii="Franklin Gothic Book" w:eastAsia="Franklin Gothic Book" w:hAnsi="Franklin Gothic Book" w:cs="Franklin Gothic Book"/>
        </w:rPr>
        <w:tab/>
      </w:r>
      <w:r>
        <w:rPr>
          <w:rFonts w:ascii="Franklin Gothic Book" w:eastAsia="Franklin Gothic Book" w:hAnsi="Franklin Gothic Book" w:cs="Franklin Gothic Book"/>
          <w:sz w:val="24"/>
        </w:rPr>
        <w:t>LEGAL FRAMEWORK; BENCHMARK TAX TREATMENT AND TAX EXPENDITURES</w:t>
      </w:r>
      <w:r>
        <w:rPr>
          <w:rFonts w:ascii="Franklin Gothic Book" w:eastAsia="Franklin Gothic Book" w:hAnsi="Franklin Gothic Book" w:cs="Franklin Gothic Book"/>
        </w:rPr>
        <w:t xml:space="preserve"> </w:t>
      </w:r>
    </w:p>
    <w:p w:rsidR="001C682A" w:rsidRDefault="00B03C38">
      <w:pPr>
        <w:spacing w:after="433" w:line="259" w:lineRule="auto"/>
        <w:ind w:left="190" w:firstLine="0"/>
        <w:jc w:val="left"/>
      </w:pPr>
      <w:r>
        <w:rPr>
          <w:rFonts w:ascii="Calibri" w:eastAsia="Calibri" w:hAnsi="Calibri" w:cs="Calibri"/>
          <w:noProof/>
        </w:rPr>
        <mc:AlternateContent>
          <mc:Choice Requires="wpg">
            <w:drawing>
              <wp:inline distT="0" distB="0" distL="0" distR="0">
                <wp:extent cx="5764658" cy="18288"/>
                <wp:effectExtent l="0" t="0" r="0" b="0"/>
                <wp:docPr id="340056" name="Group 340056"/>
                <wp:cNvGraphicFramePr/>
                <a:graphic xmlns:a="http://schemas.openxmlformats.org/drawingml/2006/main">
                  <a:graphicData uri="http://schemas.microsoft.com/office/word/2010/wordprocessingGroup">
                    <wpg:wgp>
                      <wpg:cNvGrpSpPr/>
                      <wpg:grpSpPr>
                        <a:xfrm>
                          <a:off x="0" y="0"/>
                          <a:ext cx="5764658" cy="18288"/>
                          <a:chOff x="0" y="0"/>
                          <a:chExt cx="5764658" cy="18288"/>
                        </a:xfrm>
                      </wpg:grpSpPr>
                      <wps:wsp>
                        <wps:cNvPr id="395855" name="Shape 395855"/>
                        <wps:cNvSpPr/>
                        <wps:spPr>
                          <a:xfrm>
                            <a:off x="0" y="0"/>
                            <a:ext cx="5764658" cy="18288"/>
                          </a:xfrm>
                          <a:custGeom>
                            <a:avLst/>
                            <a:gdLst/>
                            <a:ahLst/>
                            <a:cxnLst/>
                            <a:rect l="0" t="0" r="0" b="0"/>
                            <a:pathLst>
                              <a:path w="5764658" h="18288">
                                <a:moveTo>
                                  <a:pt x="0" y="0"/>
                                </a:moveTo>
                                <a:lnTo>
                                  <a:pt x="5764658" y="0"/>
                                </a:lnTo>
                                <a:lnTo>
                                  <a:pt x="5764658" y="18288"/>
                                </a:lnTo>
                                <a:lnTo>
                                  <a:pt x="0" y="1828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40056" style="width:453.91pt;height:1.44pt;mso-position-horizontal-relative:char;mso-position-vertical-relative:line" coordsize="57646,182">
                <v:shape id="Shape 395856" style="position:absolute;width:57646;height:182;left:0;top:0;" coordsize="5764658,18288" path="m0,0l5764658,0l5764658,18288l0,18288l0,0">
                  <v:stroke weight="0pt" endcap="flat" joinstyle="miter" miterlimit="10" on="false" color="#000000" opacity="0"/>
                  <v:fill on="true" color="#000080"/>
                </v:shape>
              </v:group>
            </w:pict>
          </mc:Fallback>
        </mc:AlternateContent>
      </w:r>
    </w:p>
    <w:p w:rsidR="001C682A" w:rsidRDefault="00B03C38">
      <w:pPr>
        <w:pStyle w:val="Heading8"/>
        <w:ind w:left="213" w:right="485"/>
      </w:pPr>
      <w:r>
        <w:t xml:space="preserve">1.1. Legal Framework </w:t>
      </w:r>
    </w:p>
    <w:p w:rsidR="001C682A" w:rsidRDefault="00B03C38">
      <w:pPr>
        <w:spacing w:after="187"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40057" name="Group 340057"/>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857" name="Shape 395857"/>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40057" style="width:453.91pt;height:0.47998pt;mso-position-horizontal-relative:char;mso-position-vertical-relative:line" coordsize="57646,60">
                <v:shape id="Shape 395858"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ind w:left="236" w:right="816"/>
      </w:pPr>
      <w:r>
        <w:t xml:space="preserve">The preparation of the Statement is required under the FRA 2007. In particular, Section 29 FRA 2007 obliges the Finance Minister to provide an evaluation of the budgetary and financial implications of any proposed tax expenditure in the year that it becomes effective and in the following three years. Importantly, Section 29 also provides that the Finance Minister can approve an expenditure measure only if it does not adversely impair the revenue estimates in the annual budget or if it is accompanied by a countervailing measure or measures, such as increased tax rates or expansion of the tax base, resulting in increased revenue. In other words, Section 29 requires that the introduction of any new tax expenditure to be revenue neutral. The Statement will provide input into this analysis by setting out an estimate of the revenue cost of existing tax expenditures. </w:t>
      </w:r>
    </w:p>
    <w:p w:rsidR="001C682A" w:rsidRDefault="00B03C38">
      <w:pPr>
        <w:spacing w:after="0" w:line="259" w:lineRule="auto"/>
        <w:ind w:left="218" w:firstLine="0"/>
        <w:jc w:val="left"/>
      </w:pPr>
      <w:r>
        <w:t xml:space="preserve"> </w:t>
      </w:r>
    </w:p>
    <w:p w:rsidR="001C682A" w:rsidRDefault="00B03C38">
      <w:pPr>
        <w:ind w:left="236" w:right="816"/>
      </w:pPr>
      <w:r>
        <w:t xml:space="preserve">This Policy Overview has been prepared by the Budget Office to provide preliminary guidance to accompany the government’s MTEF, and to set out the framework for the annual Statements. It has been prepared in accordance with the instructions and requirements specified in the FGN 2021 Tax Expenditures Statement Call Circular (April 2020). </w:t>
      </w:r>
    </w:p>
    <w:p w:rsidR="001C682A" w:rsidRDefault="00B03C38">
      <w:pPr>
        <w:spacing w:after="415" w:line="259" w:lineRule="auto"/>
        <w:ind w:left="218" w:firstLine="0"/>
        <w:jc w:val="left"/>
      </w:pPr>
      <w:r>
        <w:rPr>
          <w:rFonts w:ascii="Times New Roman" w:eastAsia="Times New Roman" w:hAnsi="Times New Roman" w:cs="Times New Roman"/>
          <w:b/>
        </w:rPr>
        <w:lastRenderedPageBreak/>
        <w:t xml:space="preserve"> </w:t>
      </w:r>
    </w:p>
    <w:p w:rsidR="001C682A" w:rsidRDefault="00B03C38">
      <w:pPr>
        <w:pStyle w:val="Heading8"/>
        <w:ind w:left="213" w:right="485"/>
      </w:pPr>
      <w:r>
        <w:t xml:space="preserve">1.2. Benchmark Tax Treatment and Tax Expenditures </w:t>
      </w:r>
    </w:p>
    <w:p w:rsidR="001C682A" w:rsidRDefault="00B03C38">
      <w:pPr>
        <w:spacing w:after="187"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40058" name="Group 340058"/>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859" name="Shape 395859"/>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40058" style="width:453.91pt;height:0.480011pt;mso-position-horizontal-relative:char;mso-position-vertical-relative:line" coordsize="57646,60">
                <v:shape id="Shape 395860"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ind w:left="236" w:right="816"/>
      </w:pPr>
      <w:r>
        <w:t>The benchmark tax treatment is the standard tax treatment applicable generally to taxpayers, activities, or goods and services, and is set separately for each tax. It is based on the norms applicable under the Nigerian tax system. This approach is considered simpler, and less open to debate, than the alternative of defining the benchmark for each tax by reference to the “optimal” design of the tax from an economic and policy perspective, such as the Haig Simons notion of comprehensive income for the purposes of the CIT. The benchmark for each tax takes account of the key structural features of the tax: (</w:t>
      </w:r>
      <w:proofErr w:type="spellStart"/>
      <w:r>
        <w:t>i</w:t>
      </w:r>
      <w:proofErr w:type="spellEnd"/>
      <w:r>
        <w:t xml:space="preserve">) tax base; (ii) tax rate; (iii) tax unit; and (iv) tax period. However, most tax expenditures relate to measures affecting the tax base or tax rates.  </w:t>
      </w:r>
    </w:p>
    <w:p w:rsidR="001C682A" w:rsidRDefault="00B03C38">
      <w:pPr>
        <w:spacing w:after="0" w:line="259" w:lineRule="auto"/>
        <w:ind w:left="218" w:firstLine="0"/>
        <w:jc w:val="left"/>
      </w:pPr>
      <w:r>
        <w:t xml:space="preserve"> </w:t>
      </w:r>
    </w:p>
    <w:p w:rsidR="001C682A" w:rsidRDefault="00B03C38">
      <w:pPr>
        <w:ind w:left="236" w:right="816"/>
      </w:pPr>
      <w:r>
        <w:t xml:space="preserve">In broad terms, a tax expenditure is any measure in the revenue or other laws that provides for a tax treatment of a particular activity, sector, or goods or services, or a particular class of taxpayer, that differs from the benchmark tax treatment and that results in a reduction in a taxpayer’s liability. This is consistent with section 56 of the FRA 2007, which defines “tax expenditure projections” to mean “the projected amount expected to be utilized in the granting of tax relief or [a] tax holiday”. Tax expenditures can take various forms, including exemptions, concessionary deductions, tax credits, concessionary tax rates, duty or tax waivers, or deferral of a tax liability. Importantly, a tax measure is a tax expenditure only if it is a departure from the benchmark tax treatment. Some exemptions and concessionary rates form part of the benchmark tax treatment and, therefore, are not tax expenditures. For example, the </w:t>
      </w:r>
      <w:proofErr w:type="spellStart"/>
      <w:r>
        <w:t>zerorating</w:t>
      </w:r>
      <w:proofErr w:type="spellEnd"/>
      <w:r>
        <w:t xml:space="preserve"> of exports under the VAT is not a tax expenditure as it is a structural feature of the VAT, which taxes domestic consumption.  </w:t>
      </w:r>
    </w:p>
    <w:p w:rsidR="001C682A" w:rsidRDefault="00B03C38">
      <w:pPr>
        <w:spacing w:after="0" w:line="259" w:lineRule="auto"/>
        <w:ind w:left="218" w:firstLine="0"/>
        <w:jc w:val="left"/>
      </w:pPr>
      <w:r>
        <w:t xml:space="preserve"> </w:t>
      </w:r>
    </w:p>
    <w:p w:rsidR="001C682A" w:rsidRDefault="00B03C38">
      <w:pPr>
        <w:ind w:left="236" w:right="816"/>
      </w:pPr>
      <w:r>
        <w:t xml:space="preserve">Some tax expenditures give rise to a permanent reduction in the tax liability of a taxpayer. Examples include tax exemptions, concessionary tax rates, and duty or tax waivers. Other tax expenditures provide a timing advantage to taxpayers by either deferring the recognition of income or advancing the allowance of deductions. Examples include accelerated depreciation and investment tax credits. A timing difference is an advantage to a taxpayer because of the time value of money. </w:t>
      </w:r>
    </w:p>
    <w:p w:rsidR="001C682A" w:rsidRDefault="00B03C38">
      <w:pPr>
        <w:spacing w:after="0" w:line="259" w:lineRule="auto"/>
        <w:ind w:left="218" w:firstLine="0"/>
        <w:jc w:val="left"/>
      </w:pPr>
      <w:r>
        <w:t xml:space="preserve"> </w:t>
      </w:r>
    </w:p>
    <w:p w:rsidR="001C682A" w:rsidRDefault="00B03C38">
      <w:pPr>
        <w:spacing w:after="406"/>
        <w:ind w:left="236" w:right="816"/>
      </w:pPr>
      <w:r>
        <w:t xml:space="preserve">There may be policy aspects of the benchmark tax treatment that the Government may decide to cost to determine whether they are working as intended or to help formulate policies in the future, and the methodology used for costing tax expenditures may be useful also for this purpose. For example, in future, the tax expenditure methodology may be used to cost departures in the Nigerian tax laws from global best practice. However, the 2019 Statement will focus only on tax expenditures. </w:t>
      </w:r>
    </w:p>
    <w:p w:rsidR="001C682A" w:rsidRDefault="00B03C38">
      <w:pPr>
        <w:pStyle w:val="Heading8"/>
        <w:ind w:left="213" w:right="485"/>
      </w:pPr>
      <w:r>
        <w:t xml:space="preserve">1.3. Tax Expenditure Evaluation Framework for Nigeria </w:t>
      </w:r>
    </w:p>
    <w:p w:rsidR="001C682A" w:rsidRDefault="00B03C38">
      <w:pPr>
        <w:spacing w:after="187"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49279" name="Group 349279"/>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861" name="Shape 395861"/>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49279" style="width:453.91pt;height:0.47998pt;mso-position-horizontal-relative:char;mso-position-vertical-relative:line" coordsize="57646,60">
                <v:shape id="Shape 395862"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ind w:left="236" w:right="816"/>
      </w:pPr>
      <w:r>
        <w:t xml:space="preserve">As stated above, the Statement will provide data that can be used in the evaluation of tax expenditures. Ideally, the cost of tax expenditures should be measured against the benefits obtained from the tax expenditure having regard to the objectives for which they are designed. </w:t>
      </w:r>
      <w:r>
        <w:lastRenderedPageBreak/>
        <w:t xml:space="preserve">This Policy Overview establishes a framework for the evaluation of both the performance of existing measures that result in tax expenditures and future measures that may result in tax expenditures. The following objectives may be used to evaluate Tax Expenditures that are established through the Annual Statements: </w:t>
      </w:r>
    </w:p>
    <w:p w:rsidR="001C682A" w:rsidRDefault="00B03C38">
      <w:pPr>
        <w:spacing w:after="0" w:line="259" w:lineRule="auto"/>
        <w:ind w:left="218" w:firstLine="0"/>
        <w:jc w:val="left"/>
      </w:pPr>
      <w:r>
        <w:t xml:space="preserve"> </w:t>
      </w:r>
    </w:p>
    <w:tbl>
      <w:tblPr>
        <w:tblStyle w:val="TableGrid"/>
        <w:tblW w:w="9011" w:type="dxa"/>
        <w:tblInd w:w="223" w:type="dxa"/>
        <w:tblCellMar>
          <w:top w:w="11" w:type="dxa"/>
          <w:left w:w="108" w:type="dxa"/>
          <w:right w:w="37" w:type="dxa"/>
        </w:tblCellMar>
        <w:tblLook w:val="04A0" w:firstRow="1" w:lastRow="0" w:firstColumn="1" w:lastColumn="0" w:noHBand="0" w:noVBand="1"/>
      </w:tblPr>
      <w:tblGrid>
        <w:gridCol w:w="4316"/>
        <w:gridCol w:w="4695"/>
      </w:tblGrid>
      <w:tr w:rsidR="001C682A">
        <w:trPr>
          <w:trHeight w:val="516"/>
        </w:trPr>
        <w:tc>
          <w:tcPr>
            <w:tcW w:w="431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pPr>
            <w:r>
              <w:rPr>
                <w:b/>
              </w:rPr>
              <w:t xml:space="preserve">Objectives to further broad economic and social policy </w:t>
            </w:r>
          </w:p>
        </w:tc>
        <w:tc>
          <w:tcPr>
            <w:tcW w:w="469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rPr>
                <w:b/>
              </w:rPr>
              <w:t xml:space="preserve">Objectives that are internal to the tax system </w:t>
            </w:r>
          </w:p>
        </w:tc>
      </w:tr>
      <w:tr w:rsidR="001C682A">
        <w:trPr>
          <w:trHeight w:val="516"/>
        </w:trPr>
        <w:tc>
          <w:tcPr>
            <w:tcW w:w="431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To encourage investment in specific sectors </w:t>
            </w:r>
          </w:p>
        </w:tc>
        <w:tc>
          <w:tcPr>
            <w:tcW w:w="469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To extend or modify the unit of taxation </w:t>
            </w:r>
          </w:p>
        </w:tc>
      </w:tr>
      <w:tr w:rsidR="001C682A">
        <w:trPr>
          <w:trHeight w:val="264"/>
        </w:trPr>
        <w:tc>
          <w:tcPr>
            <w:tcW w:w="431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To encourage or attract investment </w:t>
            </w:r>
          </w:p>
        </w:tc>
        <w:tc>
          <w:tcPr>
            <w:tcW w:w="469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To provide income support or tax relief  </w:t>
            </w:r>
          </w:p>
        </w:tc>
      </w:tr>
      <w:tr w:rsidR="001C682A">
        <w:trPr>
          <w:trHeight w:val="262"/>
        </w:trPr>
        <w:tc>
          <w:tcPr>
            <w:tcW w:w="431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To encourage export-oriented industry </w:t>
            </w:r>
          </w:p>
        </w:tc>
        <w:tc>
          <w:tcPr>
            <w:tcW w:w="469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To reduce administration or compliance costs  </w:t>
            </w:r>
          </w:p>
        </w:tc>
      </w:tr>
      <w:tr w:rsidR="001C682A">
        <w:trPr>
          <w:trHeight w:val="516"/>
        </w:trPr>
        <w:tc>
          <w:tcPr>
            <w:tcW w:w="431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To encourage investment in specific regions </w:t>
            </w:r>
          </w:p>
        </w:tc>
        <w:tc>
          <w:tcPr>
            <w:tcW w:w="469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To assess tax liability over a multi-year period </w:t>
            </w:r>
          </w:p>
        </w:tc>
      </w:tr>
      <w:tr w:rsidR="001C682A">
        <w:trPr>
          <w:trHeight w:val="264"/>
        </w:trPr>
        <w:tc>
          <w:tcPr>
            <w:tcW w:w="431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To encourage backward integration   </w:t>
            </w:r>
          </w:p>
        </w:tc>
        <w:tc>
          <w:tcPr>
            <w:tcW w:w="469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To prevent double taxation </w:t>
            </w:r>
          </w:p>
        </w:tc>
      </w:tr>
      <w:tr w:rsidR="001C682A">
        <w:trPr>
          <w:trHeight w:val="516"/>
        </w:trPr>
        <w:tc>
          <w:tcPr>
            <w:tcW w:w="431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To encourage employment </w:t>
            </w:r>
          </w:p>
        </w:tc>
        <w:tc>
          <w:tcPr>
            <w:tcW w:w="469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To recognize non-discretionary expenses (ability to pay) </w:t>
            </w:r>
          </w:p>
        </w:tc>
      </w:tr>
      <w:tr w:rsidR="001C682A">
        <w:trPr>
          <w:trHeight w:val="516"/>
        </w:trPr>
        <w:tc>
          <w:tcPr>
            <w:tcW w:w="431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To support competitiveness  </w:t>
            </w:r>
          </w:p>
        </w:tc>
        <w:tc>
          <w:tcPr>
            <w:tcW w:w="469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pPr>
            <w:r>
              <w:t xml:space="preserve">To recognize expenses incurred to earn employment income </w:t>
            </w:r>
          </w:p>
        </w:tc>
      </w:tr>
      <w:tr w:rsidR="001C682A">
        <w:trPr>
          <w:trHeight w:val="262"/>
        </w:trPr>
        <w:tc>
          <w:tcPr>
            <w:tcW w:w="431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To support business activity </w:t>
            </w:r>
          </w:p>
        </w:tc>
        <w:tc>
          <w:tcPr>
            <w:tcW w:w="469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To implement a judicial decision </w:t>
            </w:r>
          </w:p>
        </w:tc>
      </w:tr>
      <w:tr w:rsidR="001C682A">
        <w:trPr>
          <w:trHeight w:val="264"/>
        </w:trPr>
        <w:tc>
          <w:tcPr>
            <w:tcW w:w="431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To encourage savings </w:t>
            </w:r>
          </w:p>
        </w:tc>
        <w:tc>
          <w:tcPr>
            <w:tcW w:w="469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To promote the fairness of the tax system </w:t>
            </w:r>
          </w:p>
        </w:tc>
      </w:tr>
      <w:tr w:rsidR="001C682A">
        <w:trPr>
          <w:trHeight w:val="516"/>
        </w:trPr>
        <w:tc>
          <w:tcPr>
            <w:tcW w:w="431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To encourage investment in education  </w:t>
            </w:r>
          </w:p>
        </w:tc>
        <w:tc>
          <w:tcPr>
            <w:tcW w:w="469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To ensure neutral tax treatment across similar situations  </w:t>
            </w:r>
          </w:p>
        </w:tc>
      </w:tr>
      <w:tr w:rsidR="001C682A">
        <w:trPr>
          <w:trHeight w:val="516"/>
        </w:trPr>
        <w:tc>
          <w:tcPr>
            <w:tcW w:w="431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To achieve other economic objectives  </w:t>
            </w:r>
          </w:p>
        </w:tc>
        <w:tc>
          <w:tcPr>
            <w:tcW w:w="469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To implement intergovernmental tax arrangements </w:t>
            </w:r>
          </w:p>
        </w:tc>
      </w:tr>
      <w:tr w:rsidR="001C682A">
        <w:trPr>
          <w:trHeight w:val="264"/>
        </w:trPr>
        <w:tc>
          <w:tcPr>
            <w:tcW w:w="431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To achieve a social objective </w:t>
            </w:r>
          </w:p>
        </w:tc>
        <w:tc>
          <w:tcPr>
            <w:tcW w:w="469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 </w:t>
            </w:r>
          </w:p>
        </w:tc>
      </w:tr>
      <w:tr w:rsidR="001C682A">
        <w:trPr>
          <w:trHeight w:val="516"/>
        </w:trPr>
        <w:tc>
          <w:tcPr>
            <w:tcW w:w="431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61" w:firstLine="0"/>
              <w:jc w:val="left"/>
            </w:pPr>
            <w:r>
              <w:t xml:space="preserve">To provide relief for special circumstances </w:t>
            </w:r>
          </w:p>
        </w:tc>
        <w:tc>
          <w:tcPr>
            <w:tcW w:w="4695"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 </w:t>
            </w:r>
          </w:p>
        </w:tc>
      </w:tr>
    </w:tbl>
    <w:p w:rsidR="001C682A" w:rsidRDefault="00B03C38">
      <w:pPr>
        <w:spacing w:after="0" w:line="259" w:lineRule="auto"/>
        <w:ind w:left="218" w:firstLine="0"/>
        <w:jc w:val="left"/>
      </w:pPr>
      <w:r>
        <w:t xml:space="preserve"> </w:t>
      </w:r>
    </w:p>
    <w:p w:rsidR="001C682A" w:rsidRDefault="00B03C38">
      <w:pPr>
        <w:ind w:left="236" w:right="816"/>
      </w:pPr>
      <w:r>
        <w:t xml:space="preserve">The revenue cost of tax expenditures in the Statements will provide input into the evaluation process. The actual evaluation of tax measures is a separate process documented in other policy specific documents that can incorporate non-tax policy drivers in addition to tax expenditures that further policy goals.  </w:t>
      </w:r>
    </w:p>
    <w:p w:rsidR="001C682A" w:rsidRDefault="00B03C38">
      <w:pPr>
        <w:spacing w:after="415" w:line="259" w:lineRule="auto"/>
        <w:ind w:left="218" w:firstLine="0"/>
        <w:jc w:val="left"/>
      </w:pPr>
      <w:r>
        <w:rPr>
          <w:rFonts w:ascii="Times New Roman" w:eastAsia="Times New Roman" w:hAnsi="Times New Roman" w:cs="Times New Roman"/>
        </w:rPr>
        <w:t xml:space="preserve"> </w:t>
      </w:r>
    </w:p>
    <w:p w:rsidR="001C682A" w:rsidRDefault="00B03C38">
      <w:pPr>
        <w:pStyle w:val="Heading8"/>
        <w:ind w:left="213" w:right="485"/>
      </w:pPr>
      <w:r>
        <w:t xml:space="preserve">1.4. Scope Limitation for First Tax Expenditures Statement  </w:t>
      </w:r>
    </w:p>
    <w:p w:rsidR="001C682A" w:rsidRDefault="00B03C38">
      <w:pPr>
        <w:spacing w:after="187"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49280" name="Group 349280"/>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863" name="Shape 395863"/>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49280" style="width:453.91pt;height:0.47998pt;mso-position-horizontal-relative:char;mso-position-vertical-relative:line" coordsize="57646,60">
                <v:shape id="Shape 395864"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spacing w:after="405"/>
        <w:ind w:left="236" w:right="816"/>
      </w:pPr>
      <w:r>
        <w:t xml:space="preserve">The scope and coverage of tax expenditure reporting varies from country to country. Because of data limitations, in the initial period of preparation of the Statement, the focus will </w:t>
      </w:r>
      <w:proofErr w:type="gramStart"/>
      <w:r>
        <w:t>be  on</w:t>
      </w:r>
      <w:proofErr w:type="gramEnd"/>
      <w:r>
        <w:t xml:space="preserve"> the incentives for specific types of investment or business activity, and to specific categories of goods and services, as provided for in the VAT and CIT legislation, and to the extent that data becomes available, on other principal areas of taxation. However, over time, the aim is for the Statement to become a more comprehensive coverage of Nigeria’s tax expenditures.  </w:t>
      </w:r>
    </w:p>
    <w:p w:rsidR="001C682A" w:rsidRDefault="00B03C38">
      <w:pPr>
        <w:pStyle w:val="Heading7"/>
        <w:spacing w:after="4" w:line="252" w:lineRule="auto"/>
        <w:ind w:left="911" w:right="704" w:hanging="708"/>
      </w:pPr>
      <w:r>
        <w:rPr>
          <w:rFonts w:ascii="Franklin Gothic Book" w:eastAsia="Franklin Gothic Book" w:hAnsi="Franklin Gothic Book" w:cs="Franklin Gothic Book"/>
          <w:color w:val="000000"/>
        </w:rPr>
        <w:t xml:space="preserve">2. </w:t>
      </w:r>
      <w:r>
        <w:rPr>
          <w:rFonts w:ascii="Franklin Gothic Book" w:eastAsia="Franklin Gothic Book" w:hAnsi="Franklin Gothic Book" w:cs="Franklin Gothic Book"/>
          <w:color w:val="000000"/>
        </w:rPr>
        <w:tab/>
        <w:t xml:space="preserve">TAX EXPENDITURES AND BENCHMARKS USED: DEFINITIONS/ ESTIMATION METHODOLOGIES </w:t>
      </w:r>
    </w:p>
    <w:p w:rsidR="001C682A" w:rsidRDefault="00B03C38">
      <w:pPr>
        <w:spacing w:after="435" w:line="259" w:lineRule="auto"/>
        <w:ind w:left="190" w:firstLine="0"/>
        <w:jc w:val="left"/>
      </w:pPr>
      <w:r>
        <w:rPr>
          <w:rFonts w:ascii="Calibri" w:eastAsia="Calibri" w:hAnsi="Calibri" w:cs="Calibri"/>
          <w:noProof/>
        </w:rPr>
        <mc:AlternateContent>
          <mc:Choice Requires="wpg">
            <w:drawing>
              <wp:inline distT="0" distB="0" distL="0" distR="0">
                <wp:extent cx="5764658" cy="18288"/>
                <wp:effectExtent l="0" t="0" r="0" b="0"/>
                <wp:docPr id="342335" name="Group 342335"/>
                <wp:cNvGraphicFramePr/>
                <a:graphic xmlns:a="http://schemas.openxmlformats.org/drawingml/2006/main">
                  <a:graphicData uri="http://schemas.microsoft.com/office/word/2010/wordprocessingGroup">
                    <wpg:wgp>
                      <wpg:cNvGrpSpPr/>
                      <wpg:grpSpPr>
                        <a:xfrm>
                          <a:off x="0" y="0"/>
                          <a:ext cx="5764658" cy="18288"/>
                          <a:chOff x="0" y="0"/>
                          <a:chExt cx="5764658" cy="18288"/>
                        </a:xfrm>
                      </wpg:grpSpPr>
                      <wps:wsp>
                        <wps:cNvPr id="395865" name="Shape 395865"/>
                        <wps:cNvSpPr/>
                        <wps:spPr>
                          <a:xfrm>
                            <a:off x="0" y="0"/>
                            <a:ext cx="5764658" cy="18288"/>
                          </a:xfrm>
                          <a:custGeom>
                            <a:avLst/>
                            <a:gdLst/>
                            <a:ahLst/>
                            <a:cxnLst/>
                            <a:rect l="0" t="0" r="0" b="0"/>
                            <a:pathLst>
                              <a:path w="5764658" h="18288">
                                <a:moveTo>
                                  <a:pt x="0" y="0"/>
                                </a:moveTo>
                                <a:lnTo>
                                  <a:pt x="5764658" y="0"/>
                                </a:lnTo>
                                <a:lnTo>
                                  <a:pt x="5764658" y="18288"/>
                                </a:lnTo>
                                <a:lnTo>
                                  <a:pt x="0" y="1828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42335" style="width:453.91pt;height:1.44pt;mso-position-horizontal-relative:char;mso-position-vertical-relative:line" coordsize="57646,182">
                <v:shape id="Shape 395866" style="position:absolute;width:57646;height:182;left:0;top:0;" coordsize="5764658,18288" path="m0,0l5764658,0l5764658,18288l0,18288l0,0">
                  <v:stroke weight="0pt" endcap="flat" joinstyle="miter" miterlimit="10" on="false" color="#000000" opacity="0"/>
                  <v:fill on="true" color="#000080"/>
                </v:shape>
              </v:group>
            </w:pict>
          </mc:Fallback>
        </mc:AlternateContent>
      </w:r>
    </w:p>
    <w:p w:rsidR="001C682A" w:rsidRDefault="00B03C38">
      <w:pPr>
        <w:pStyle w:val="Heading8"/>
        <w:ind w:left="213" w:right="485"/>
      </w:pPr>
      <w:r>
        <w:lastRenderedPageBreak/>
        <w:t xml:space="preserve">2.1. Methodological Approach </w:t>
      </w:r>
    </w:p>
    <w:p w:rsidR="001C682A" w:rsidRDefault="00B03C38">
      <w:pPr>
        <w:spacing w:after="187"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42336" name="Group 342336"/>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867" name="Shape 395867"/>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42336" style="width:453.91pt;height:0.47998pt;mso-position-horizontal-relative:char;mso-position-vertical-relative:line" coordsize="57646,60">
                <v:shape id="Shape 395868"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ind w:left="236" w:right="816"/>
      </w:pPr>
      <w:r>
        <w:t xml:space="preserve">As required by the Call Circular, the tax expenditure estimates included in the Statement are to be determined on a “revenue forgone” basis. This means that the estimates should be based on the difference between the existing and benchmark tax treatments assuming taxpayer </w:t>
      </w:r>
      <w:proofErr w:type="spellStart"/>
      <w:r>
        <w:t>behavior</w:t>
      </w:r>
      <w:proofErr w:type="spellEnd"/>
      <w:r>
        <w:t xml:space="preserve"> is the same, i.e. there is no </w:t>
      </w:r>
      <w:proofErr w:type="spellStart"/>
      <w:r>
        <w:t>behavioral</w:t>
      </w:r>
      <w:proofErr w:type="spellEnd"/>
      <w:r>
        <w:t xml:space="preserve"> response to a reduction or removal of the tax expenditure.  </w:t>
      </w:r>
    </w:p>
    <w:p w:rsidR="001C682A" w:rsidRDefault="00B03C38">
      <w:pPr>
        <w:spacing w:after="0" w:line="259" w:lineRule="auto"/>
        <w:ind w:left="218" w:firstLine="0"/>
        <w:jc w:val="left"/>
      </w:pPr>
      <w:r>
        <w:t xml:space="preserve"> </w:t>
      </w:r>
    </w:p>
    <w:p w:rsidR="001C682A" w:rsidRDefault="00B03C38">
      <w:pPr>
        <w:ind w:left="236" w:right="816"/>
      </w:pPr>
      <w:r>
        <w:t xml:space="preserve">The following are noted with respect to the tax expenditure estimates for the annual Statements, and have been used for the purposes of the preliminary calculations in this Policy Overview: </w:t>
      </w:r>
    </w:p>
    <w:p w:rsidR="001C682A" w:rsidRDefault="00B03C38">
      <w:pPr>
        <w:spacing w:after="0" w:line="259" w:lineRule="auto"/>
        <w:ind w:left="218" w:firstLine="0"/>
        <w:jc w:val="left"/>
      </w:pPr>
      <w:r>
        <w:t xml:space="preserve"> </w:t>
      </w:r>
    </w:p>
    <w:p w:rsidR="001C682A" w:rsidRDefault="00B03C38">
      <w:pPr>
        <w:numPr>
          <w:ilvl w:val="0"/>
          <w:numId w:val="13"/>
        </w:numPr>
        <w:ind w:left="939" w:right="816" w:hanging="437"/>
      </w:pPr>
      <w:r>
        <w:t xml:space="preserve">The estimate is not an estimate of the revenue increase if the tax expenditure is removed.  </w:t>
      </w:r>
    </w:p>
    <w:p w:rsidR="001C682A" w:rsidRDefault="00B03C38">
      <w:pPr>
        <w:spacing w:after="0" w:line="259" w:lineRule="auto"/>
        <w:ind w:left="502" w:firstLine="0"/>
        <w:jc w:val="left"/>
      </w:pPr>
      <w:r>
        <w:t xml:space="preserve"> </w:t>
      </w:r>
    </w:p>
    <w:p w:rsidR="001C682A" w:rsidRDefault="00B03C38">
      <w:pPr>
        <w:numPr>
          <w:ilvl w:val="0"/>
          <w:numId w:val="13"/>
        </w:numPr>
        <w:ind w:left="939" w:right="816" w:hanging="437"/>
      </w:pPr>
      <w:r>
        <w:t xml:space="preserve">Estimates should not be added together as one tax expenditure may affect another. </w:t>
      </w:r>
    </w:p>
    <w:p w:rsidR="001C682A" w:rsidRDefault="00B03C38">
      <w:pPr>
        <w:spacing w:after="0" w:line="259" w:lineRule="auto"/>
        <w:ind w:left="502" w:firstLine="0"/>
        <w:jc w:val="left"/>
      </w:pPr>
      <w:r>
        <w:t xml:space="preserve"> </w:t>
      </w:r>
    </w:p>
    <w:p w:rsidR="001C682A" w:rsidRDefault="00B03C38">
      <w:pPr>
        <w:numPr>
          <w:ilvl w:val="0"/>
          <w:numId w:val="13"/>
        </w:numPr>
        <w:ind w:left="939" w:right="816" w:hanging="437"/>
      </w:pPr>
      <w:r>
        <w:t xml:space="preserve">A tax expenditure estimate is not necessarily the same as a direct expenditure estimate. </w:t>
      </w:r>
    </w:p>
    <w:p w:rsidR="001C682A" w:rsidRDefault="00B03C38">
      <w:pPr>
        <w:spacing w:after="0" w:line="259" w:lineRule="auto"/>
        <w:ind w:left="502" w:firstLine="0"/>
        <w:jc w:val="left"/>
      </w:pPr>
      <w:r>
        <w:t xml:space="preserve"> </w:t>
      </w:r>
    </w:p>
    <w:p w:rsidR="001C682A" w:rsidRDefault="00B03C38">
      <w:pPr>
        <w:numPr>
          <w:ilvl w:val="0"/>
          <w:numId w:val="13"/>
        </w:numPr>
        <w:ind w:left="939" w:right="816" w:hanging="437"/>
      </w:pPr>
      <w:r>
        <w:t xml:space="preserve">Care should be taken in comparing the estimate of a particular tax expenditure estimate for 2019 with that in a future year as, over time, there may be changes in policy, benchmarks, methodology, data, or assumptions. </w:t>
      </w:r>
    </w:p>
    <w:p w:rsidR="001C682A" w:rsidRDefault="00B03C38">
      <w:pPr>
        <w:spacing w:after="0" w:line="259" w:lineRule="auto"/>
        <w:ind w:left="502" w:firstLine="0"/>
        <w:jc w:val="left"/>
      </w:pPr>
      <w:r>
        <w:t xml:space="preserve"> </w:t>
      </w:r>
    </w:p>
    <w:p w:rsidR="001C682A" w:rsidRDefault="00B03C38">
      <w:pPr>
        <w:numPr>
          <w:ilvl w:val="0"/>
          <w:numId w:val="13"/>
        </w:numPr>
        <w:ind w:left="939" w:right="816" w:hanging="437"/>
      </w:pPr>
      <w:r>
        <w:t xml:space="preserve">The reliability of estimates varies, with some estimates being an indication of the size of the tax expenditure. </w:t>
      </w:r>
    </w:p>
    <w:p w:rsidR="001C682A" w:rsidRDefault="00B03C38">
      <w:pPr>
        <w:spacing w:after="0" w:line="259" w:lineRule="auto"/>
        <w:ind w:left="502" w:firstLine="0"/>
        <w:jc w:val="left"/>
      </w:pPr>
      <w:r>
        <w:t xml:space="preserve"> </w:t>
      </w:r>
    </w:p>
    <w:p w:rsidR="001C682A" w:rsidRDefault="00B03C38">
      <w:pPr>
        <w:numPr>
          <w:ilvl w:val="0"/>
          <w:numId w:val="13"/>
        </w:numPr>
        <w:spacing w:after="407"/>
        <w:ind w:left="939" w:right="816" w:hanging="437"/>
      </w:pPr>
      <w:r>
        <w:t xml:space="preserve">The estimates are made for each tax expenditure individually. Consequently, there is no calculation of possible interaction effects, e.g. the secondary effect of VAT exemption on certain imported or locally produced capital goods on the corporate income tax due on exempted entities has not been estimated. </w:t>
      </w:r>
    </w:p>
    <w:p w:rsidR="001C682A" w:rsidRDefault="00B03C38">
      <w:pPr>
        <w:pStyle w:val="Heading8"/>
        <w:ind w:left="213" w:right="485"/>
      </w:pPr>
      <w:r>
        <w:t xml:space="preserve">2.2. Data availability and approaches to mitigate data gaps  </w:t>
      </w:r>
    </w:p>
    <w:p w:rsidR="001C682A" w:rsidRDefault="00B03C38">
      <w:pPr>
        <w:spacing w:after="187"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42337" name="Group 342337"/>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869" name="Shape 395869"/>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42337" style="width:453.91pt;height:0.47998pt;mso-position-horizontal-relative:char;mso-position-vertical-relative:line" coordsize="57646,60">
                <v:shape id="Shape 395870"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ind w:left="236" w:right="816"/>
      </w:pPr>
      <w:r>
        <w:t xml:space="preserve">The Statement will include the best estimates of the cost of the main tax expenditures based on the best, currently, available data for the 2019 year. The purpose of undertaking preliminary calculations for this Policy Overview was to test data availability and better define requirements for the purposes of the annual Statements.  In some cases, the available data related to previous periods and some assumptions were required to make them usable for the 2019 year. Further, some tax expenditures were unquantifiable as there was insufficient data to produce a reliable estimate.    </w:t>
      </w:r>
    </w:p>
    <w:p w:rsidR="001C682A" w:rsidRDefault="00B03C38">
      <w:pPr>
        <w:spacing w:after="0" w:line="259" w:lineRule="auto"/>
        <w:ind w:left="218" w:firstLine="0"/>
        <w:jc w:val="left"/>
      </w:pPr>
      <w:r>
        <w:t xml:space="preserve"> </w:t>
      </w:r>
    </w:p>
    <w:p w:rsidR="001C682A" w:rsidRDefault="00B03C38">
      <w:pPr>
        <w:ind w:left="236" w:right="816"/>
      </w:pPr>
      <w:r>
        <w:t xml:space="preserve">The following data limitations in estimating tax expenditures should be noted: </w:t>
      </w:r>
    </w:p>
    <w:p w:rsidR="001C682A" w:rsidRDefault="00B03C38">
      <w:pPr>
        <w:spacing w:after="0" w:line="259" w:lineRule="auto"/>
        <w:ind w:left="218" w:firstLine="0"/>
        <w:jc w:val="left"/>
      </w:pPr>
      <w:r>
        <w:t xml:space="preserve"> </w:t>
      </w:r>
    </w:p>
    <w:p w:rsidR="001C682A" w:rsidRDefault="00B03C38">
      <w:pPr>
        <w:numPr>
          <w:ilvl w:val="0"/>
          <w:numId w:val="14"/>
        </w:numPr>
        <w:ind w:right="816" w:hanging="218"/>
      </w:pPr>
      <w:r>
        <w:t xml:space="preserve">VAT: The VAT estimates are based on the Supply-Use Tables prepared by the Nigerian </w:t>
      </w:r>
    </w:p>
    <w:p w:rsidR="001C682A" w:rsidRDefault="00B03C38">
      <w:pPr>
        <w:spacing w:after="7" w:line="253" w:lineRule="auto"/>
        <w:ind w:left="236" w:right="818"/>
        <w:jc w:val="right"/>
      </w:pPr>
      <w:r>
        <w:lastRenderedPageBreak/>
        <w:t xml:space="preserve">Bureau of Statistics (NBS) for 2010 (the most recent Supply-Use Tables available) adjusted, where possible, to 2019. The VAT tax expenditure estimates are produced using a “top-down” approach. </w:t>
      </w:r>
    </w:p>
    <w:p w:rsidR="001C682A" w:rsidRDefault="00B03C38">
      <w:pPr>
        <w:spacing w:after="0" w:line="259" w:lineRule="auto"/>
        <w:ind w:left="0" w:firstLine="0"/>
        <w:jc w:val="left"/>
      </w:pPr>
      <w:r>
        <w:t xml:space="preserve"> </w:t>
      </w:r>
    </w:p>
    <w:p w:rsidR="001C682A" w:rsidRDefault="00B03C38">
      <w:pPr>
        <w:numPr>
          <w:ilvl w:val="0"/>
          <w:numId w:val="14"/>
        </w:numPr>
        <w:ind w:right="816" w:hanging="218"/>
      </w:pPr>
      <w:r>
        <w:t xml:space="preserve">Corporate Income Tax and Petroleum Profit Tax: The CIT/PPT estimates are based on data provided by the Federal Inland Revenue Service (FIRS) on CIT collections and returns filed by entities which benefit from the Pioneer Industry Scheme (PSI). The returns of the PSI entities provide a good estimate of the cost of PSI tax expenditures. These are derived from reasonable assumptions of profit level indicators and effective tax rates based on the performance of PSI entities. To estimate overall CIT tax expenditure these estimates are used, in conjunction with information obtained from return data from the limited number of returns filed online. The estimates will be improved in the first annual Statement with the availability of disaggregated data. It is noted that tax expenditures in relation to CIT/PPT are the most complex given varying profit ratios of different business areas, variations of profitability between time periods and difficulties of estimating the level of taxable profits from accounting profits across business areas. </w:t>
      </w:r>
    </w:p>
    <w:p w:rsidR="001C682A" w:rsidRDefault="00B03C38">
      <w:pPr>
        <w:spacing w:after="0" w:line="259" w:lineRule="auto"/>
        <w:ind w:left="0" w:firstLine="0"/>
        <w:jc w:val="left"/>
      </w:pPr>
      <w:r>
        <w:t xml:space="preserve"> </w:t>
      </w:r>
    </w:p>
    <w:p w:rsidR="001C682A" w:rsidRDefault="00B03C38">
      <w:pPr>
        <w:numPr>
          <w:ilvl w:val="0"/>
          <w:numId w:val="14"/>
        </w:numPr>
        <w:spacing w:after="407"/>
        <w:ind w:right="816" w:hanging="218"/>
      </w:pPr>
      <w:r>
        <w:t xml:space="preserve">Export Processing Zones/Oil and Gas Free Zones: The calculation of tax expenditures related to EPZ and OGFZ concessions is the most challenging due to the lack of data from the relevant regulatory authorities. Further, given that the beneficiaries are not required to file any tax returns, the only source of information is the relevant authorities, which have powers to require returns. This Policy Overview includes an estimate of revenue forgone from Export Processing Zones; this shows the need for more analysis which will be undertaken in the first annual Statement. </w:t>
      </w:r>
    </w:p>
    <w:p w:rsidR="001C682A" w:rsidRDefault="00B03C38">
      <w:pPr>
        <w:pStyle w:val="Heading8"/>
        <w:ind w:left="213" w:right="485"/>
      </w:pPr>
      <w:r>
        <w:t xml:space="preserve">2.3. Value Added Tax Benchmark  </w:t>
      </w:r>
    </w:p>
    <w:p w:rsidR="001C682A" w:rsidRDefault="00B03C38">
      <w:pPr>
        <w:spacing w:after="187"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42740" name="Group 342740"/>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871" name="Shape 395871"/>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42740" style="width:453.91pt;height:0.480011pt;mso-position-horizontal-relative:char;mso-position-vertical-relative:line" coordsize="57646,60">
                <v:shape id="Shape 395872"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ind w:left="236" w:right="816"/>
      </w:pPr>
      <w:r>
        <w:t xml:space="preserve">The Nigerian benchmark VAT rate was 5% for 2019. Following international best practice, VAT applies on the final consumption of all goods and services consumed in the country, whereas exports are zero-rated. The VAT is a multistage tax and is charged on the supply of goods and services at all stages in the supply chain. Registered businesses are eligible for input tax credits on the VAT paid on their inputs; as a result, the tax applies only on the value added throughout the supply chain. Because consumers cannot claim credits for the VAT they incur, they pay all of the tax. Nigeria denies input tax credits to capital purchases and, therefore, businesses incur unrecoverable tax on their capital investments, even on fully taxable and zero-rated supplies. Input tax credits are an integral part of the VAT system because they are the mechanism by which the tax applies only on the value-added and, therefore, are not a tax expenditure.  </w:t>
      </w:r>
    </w:p>
    <w:p w:rsidR="001C682A" w:rsidRDefault="00B03C38">
      <w:pPr>
        <w:spacing w:after="0" w:line="259" w:lineRule="auto"/>
        <w:ind w:left="218" w:firstLine="0"/>
        <w:jc w:val="left"/>
      </w:pPr>
      <w:r>
        <w:t xml:space="preserve"> </w:t>
      </w:r>
    </w:p>
    <w:p w:rsidR="001C682A" w:rsidRDefault="00B03C38">
      <w:pPr>
        <w:ind w:left="236" w:right="816"/>
      </w:pPr>
      <w:r>
        <w:t xml:space="preserve">There was no small supplier threshold in Nigeria in 2019. Consequently, all entities registered for VAT were required to charge VAE on supplies of goods or services made that were not exempt or zero rated.  </w:t>
      </w:r>
    </w:p>
    <w:p w:rsidR="001C682A" w:rsidRDefault="00B03C38">
      <w:pPr>
        <w:spacing w:after="0" w:line="259" w:lineRule="auto"/>
        <w:ind w:left="218" w:firstLine="0"/>
        <w:jc w:val="left"/>
      </w:pPr>
      <w:r>
        <w:t xml:space="preserve"> </w:t>
      </w:r>
    </w:p>
    <w:p w:rsidR="001C682A" w:rsidRDefault="00B03C38">
      <w:pPr>
        <w:ind w:left="236" w:right="816"/>
      </w:pPr>
      <w:r>
        <w:t xml:space="preserve">There are two bases under the VAT on which a supply of goods and services are not taxed. Businesses cannot charge VAT on commodities that are “exempt”. However, they become the final consumer and therefore cannot claim input tax credits for the VAT they incur on the provision of the exempt supply. When the commodity is zero-rated, the VAT does not apply </w:t>
      </w:r>
      <w:r>
        <w:lastRenderedPageBreak/>
        <w:t xml:space="preserve">throughout the supply chain, including purchases by final consumers. In contrast to “exempt supplies” businesses can claim full input tax credits used in the production of the zero-rated supply. Because exports are consumed in a foreign jurisdiction, zero-rating them is a structural component of the VAT and, therefore, is not a tax expenditure. However, zero-rating domestically consumed commodities is a tax expenditure. </w:t>
      </w:r>
    </w:p>
    <w:p w:rsidR="001C682A" w:rsidRDefault="00B03C38">
      <w:pPr>
        <w:spacing w:after="0" w:line="259" w:lineRule="auto"/>
        <w:ind w:left="218" w:firstLine="0"/>
        <w:jc w:val="left"/>
      </w:pPr>
      <w:r>
        <w:rPr>
          <w:rFonts w:ascii="Times New Roman" w:eastAsia="Times New Roman" w:hAnsi="Times New Roman" w:cs="Times New Roman"/>
        </w:rPr>
        <w:t xml:space="preserve"> </w:t>
      </w:r>
    </w:p>
    <w:p w:rsidR="001C682A" w:rsidRDefault="00B03C38">
      <w:pPr>
        <w:pStyle w:val="Heading8"/>
        <w:ind w:left="213" w:right="485"/>
      </w:pPr>
      <w:r>
        <w:t xml:space="preserve">2.4. Corporate Income Tax Benchmark  </w:t>
      </w:r>
    </w:p>
    <w:p w:rsidR="001C682A" w:rsidRDefault="00B03C38">
      <w:pPr>
        <w:spacing w:after="187"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44692" name="Group 344692"/>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873" name="Shape 395873"/>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44692" style="width:453.91pt;height:0.47998pt;mso-position-horizontal-relative:char;mso-position-vertical-relative:line" coordsize="57646,60">
                <v:shape id="Shape 395874"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ind w:left="236" w:right="816"/>
      </w:pPr>
      <w:r>
        <w:t xml:space="preserve">The benchmark CIT treatment is a flat rate of tax imposed at a rate of 30% on the taxable income of a company for an accounting year. The taxable income of a company is the tax base for the CIT and is the total income derived by the company during the accounting year reduced by the total deductions allowed to the company for the year. The benchmark CIT does not include capital gains as these are subject to separate taxation under the CGT Act. Expenditures incurred to derive income charged to tax are allowed as a deduction. Operating expenditure is deducted outright in the tax year in which it is incurred, and capital expenditure is deducted on a depreciation or amortization basis over the useful life of the expenditure. A net loss for a tax year is carried forward as a deduction in the following tax year. </w:t>
      </w:r>
    </w:p>
    <w:p w:rsidR="001C682A" w:rsidRDefault="00B03C38">
      <w:pPr>
        <w:spacing w:after="0" w:line="259" w:lineRule="auto"/>
        <w:ind w:left="218" w:firstLine="0"/>
        <w:jc w:val="left"/>
      </w:pPr>
      <w:r>
        <w:t xml:space="preserve"> </w:t>
      </w:r>
    </w:p>
    <w:p w:rsidR="001C682A" w:rsidRDefault="00B03C38">
      <w:pPr>
        <w:spacing w:after="415"/>
        <w:ind w:left="236" w:right="816"/>
      </w:pPr>
      <w:r>
        <w:t xml:space="preserve">Nigerian companies are subject to CIT on their worldwide income with a credit for foreign tax provided as relief from double taxation. Non-Nigerian companies are subject to CIT only on Nigerian source income. Dividends, interest, royalties, and rent paid to non-residents are subject to final withholding tax at the rate of 10%. Tax treaties allocate taxing rights over income and gains arising from transactions between residents of the two Contracting States to the treaty. In broad terms, tax treaties do this by either excluding or limiting source country taxation over income and gains derived by a resident of the other Contracting State. Nigeria’s taxing rights under a tax treaty form part of the CIT benchmark as it applies to residents of the other Contracting State to the treaty. This is particularly relevant to the taxation of business profits, dividends, interest, and royalties under tax treaties. For example, the benchmark taxation of interest paid to non-residents is withholding tax imposed at the rate of 10% of the gross amount of interest. However, the lower tax treaty rate of 7.5% is the benchmark rate applicable to interest paid to a resident of South Africa. </w:t>
      </w:r>
    </w:p>
    <w:p w:rsidR="001C682A" w:rsidRDefault="00B03C38">
      <w:pPr>
        <w:pStyle w:val="Heading7"/>
        <w:tabs>
          <w:tab w:val="center" w:pos="336"/>
          <w:tab w:val="center" w:pos="2831"/>
        </w:tabs>
        <w:spacing w:after="4" w:line="252" w:lineRule="auto"/>
        <w:ind w:left="0" w:firstLine="0"/>
      </w:pPr>
      <w:r>
        <w:rPr>
          <w:rFonts w:ascii="Calibri" w:eastAsia="Calibri" w:hAnsi="Calibri" w:cs="Calibri"/>
          <w:color w:val="000000"/>
          <w:sz w:val="22"/>
        </w:rPr>
        <w:tab/>
      </w:r>
      <w:r>
        <w:rPr>
          <w:rFonts w:ascii="Franklin Gothic Book" w:eastAsia="Franklin Gothic Book" w:hAnsi="Franklin Gothic Book" w:cs="Franklin Gothic Book"/>
          <w:color w:val="000000"/>
        </w:rPr>
        <w:t xml:space="preserve">3.  </w:t>
      </w:r>
      <w:r>
        <w:rPr>
          <w:rFonts w:ascii="Franklin Gothic Book" w:eastAsia="Franklin Gothic Book" w:hAnsi="Franklin Gothic Book" w:cs="Franklin Gothic Book"/>
          <w:color w:val="000000"/>
        </w:rPr>
        <w:tab/>
        <w:t xml:space="preserve">REVENUE FORGONE ESTIMATES  </w:t>
      </w:r>
    </w:p>
    <w:p w:rsidR="001C682A" w:rsidRDefault="00B03C38">
      <w:pPr>
        <w:spacing w:after="435" w:line="259" w:lineRule="auto"/>
        <w:ind w:left="190" w:firstLine="0"/>
        <w:jc w:val="left"/>
      </w:pPr>
      <w:r>
        <w:rPr>
          <w:rFonts w:ascii="Calibri" w:eastAsia="Calibri" w:hAnsi="Calibri" w:cs="Calibri"/>
          <w:noProof/>
        </w:rPr>
        <mc:AlternateContent>
          <mc:Choice Requires="wpg">
            <w:drawing>
              <wp:inline distT="0" distB="0" distL="0" distR="0">
                <wp:extent cx="5764658" cy="18288"/>
                <wp:effectExtent l="0" t="0" r="0" b="0"/>
                <wp:docPr id="344693" name="Group 344693"/>
                <wp:cNvGraphicFramePr/>
                <a:graphic xmlns:a="http://schemas.openxmlformats.org/drawingml/2006/main">
                  <a:graphicData uri="http://schemas.microsoft.com/office/word/2010/wordprocessingGroup">
                    <wpg:wgp>
                      <wpg:cNvGrpSpPr/>
                      <wpg:grpSpPr>
                        <a:xfrm>
                          <a:off x="0" y="0"/>
                          <a:ext cx="5764658" cy="18288"/>
                          <a:chOff x="0" y="0"/>
                          <a:chExt cx="5764658" cy="18288"/>
                        </a:xfrm>
                      </wpg:grpSpPr>
                      <wps:wsp>
                        <wps:cNvPr id="395875" name="Shape 395875"/>
                        <wps:cNvSpPr/>
                        <wps:spPr>
                          <a:xfrm>
                            <a:off x="0" y="0"/>
                            <a:ext cx="5764658" cy="18288"/>
                          </a:xfrm>
                          <a:custGeom>
                            <a:avLst/>
                            <a:gdLst/>
                            <a:ahLst/>
                            <a:cxnLst/>
                            <a:rect l="0" t="0" r="0" b="0"/>
                            <a:pathLst>
                              <a:path w="5764658" h="18288">
                                <a:moveTo>
                                  <a:pt x="0" y="0"/>
                                </a:moveTo>
                                <a:lnTo>
                                  <a:pt x="5764658" y="0"/>
                                </a:lnTo>
                                <a:lnTo>
                                  <a:pt x="5764658" y="18288"/>
                                </a:lnTo>
                                <a:lnTo>
                                  <a:pt x="0" y="18288"/>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44693" style="width:453.91pt;height:1.44pt;mso-position-horizontal-relative:char;mso-position-vertical-relative:line" coordsize="57646,182">
                <v:shape id="Shape 395876" style="position:absolute;width:57646;height:182;left:0;top:0;" coordsize="5764658,18288" path="m0,0l5764658,0l5764658,18288l0,18288l0,0">
                  <v:stroke weight="0pt" endcap="flat" joinstyle="miter" miterlimit="10" on="false" color="#000000" opacity="0"/>
                  <v:fill on="true" color="#000080"/>
                </v:shape>
              </v:group>
            </w:pict>
          </mc:Fallback>
        </mc:AlternateContent>
      </w:r>
    </w:p>
    <w:p w:rsidR="001C682A" w:rsidRDefault="00B03C38">
      <w:pPr>
        <w:pStyle w:val="Heading8"/>
        <w:ind w:left="213" w:right="485"/>
      </w:pPr>
      <w:r>
        <w:t xml:space="preserve">3.1. CIT/PPT revenue forgone estimates </w:t>
      </w:r>
    </w:p>
    <w:p w:rsidR="001C682A" w:rsidRDefault="00B03C38">
      <w:pPr>
        <w:spacing w:after="228"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44694" name="Group 344694"/>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877" name="Shape 395877"/>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44694" style="width:453.91pt;height:0.47998pt;mso-position-horizontal-relative:char;mso-position-vertical-relative:line" coordsize="57646,60">
                <v:shape id="Shape 395878"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spacing w:after="0" w:line="259" w:lineRule="auto"/>
        <w:ind w:left="213"/>
        <w:jc w:val="left"/>
      </w:pPr>
      <w:r>
        <w:rPr>
          <w:rFonts w:ascii="Calibri" w:eastAsia="Calibri" w:hAnsi="Calibri" w:cs="Calibri"/>
          <w:sz w:val="24"/>
        </w:rPr>
        <w:t xml:space="preserve">3.1.1. Preliminary estimate of CIT forgone </w:t>
      </w:r>
    </w:p>
    <w:p w:rsidR="001C682A" w:rsidRDefault="00B03C38">
      <w:pPr>
        <w:ind w:left="236" w:right="816"/>
      </w:pPr>
      <w:r>
        <w:t xml:space="preserve">The preliminary estimate of revenue forgone from inventoried general CIT incentives and concessions in 2019 is NGN 1.18 trillion, based on 30% effective tax rate. For contrast, the total CIT collection was NGN 1.65 trillion.  </w:t>
      </w:r>
    </w:p>
    <w:p w:rsidR="001C682A" w:rsidRDefault="00B03C38">
      <w:pPr>
        <w:spacing w:after="0" w:line="259" w:lineRule="auto"/>
        <w:ind w:left="218" w:firstLine="0"/>
        <w:jc w:val="left"/>
      </w:pPr>
      <w:r>
        <w:t xml:space="preserve"> </w:t>
      </w:r>
    </w:p>
    <w:p w:rsidR="001C682A" w:rsidRDefault="00B03C38">
      <w:pPr>
        <w:ind w:left="236" w:right="816"/>
      </w:pPr>
      <w:r>
        <w:t xml:space="preserve">Banks and financial institutions accounted for 94 percent of the estimated total CIT forgone. The table below shows the top four deductions claimed by this sector: </w:t>
      </w:r>
    </w:p>
    <w:p w:rsidR="001C682A" w:rsidRDefault="00B03C38">
      <w:pPr>
        <w:spacing w:after="0" w:line="259" w:lineRule="auto"/>
        <w:ind w:left="218" w:firstLine="0"/>
        <w:jc w:val="left"/>
      </w:pPr>
      <w:r>
        <w:t xml:space="preserve"> </w:t>
      </w:r>
    </w:p>
    <w:tbl>
      <w:tblPr>
        <w:tblStyle w:val="TableGrid"/>
        <w:tblW w:w="6567" w:type="dxa"/>
        <w:tblInd w:w="223" w:type="dxa"/>
        <w:tblCellMar>
          <w:top w:w="11" w:type="dxa"/>
          <w:left w:w="108" w:type="dxa"/>
          <w:right w:w="49" w:type="dxa"/>
        </w:tblCellMar>
        <w:tblLook w:val="04A0" w:firstRow="1" w:lastRow="0" w:firstColumn="1" w:lastColumn="0" w:noHBand="0" w:noVBand="1"/>
      </w:tblPr>
      <w:tblGrid>
        <w:gridCol w:w="4135"/>
        <w:gridCol w:w="2432"/>
      </w:tblGrid>
      <w:tr w:rsidR="001C682A">
        <w:trPr>
          <w:trHeight w:val="264"/>
        </w:trPr>
        <w:tc>
          <w:tcPr>
            <w:tcW w:w="413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60" w:firstLine="0"/>
              <w:jc w:val="center"/>
            </w:pPr>
            <w:r>
              <w:rPr>
                <w:b/>
              </w:rPr>
              <w:lastRenderedPageBreak/>
              <w:t xml:space="preserve">Concession claimed </w:t>
            </w:r>
          </w:p>
        </w:tc>
        <w:tc>
          <w:tcPr>
            <w:tcW w:w="24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60" w:firstLine="0"/>
              <w:jc w:val="center"/>
            </w:pPr>
            <w:r>
              <w:rPr>
                <w:b/>
              </w:rPr>
              <w:t xml:space="preserve">NGN </w:t>
            </w:r>
          </w:p>
        </w:tc>
      </w:tr>
      <w:tr w:rsidR="001C682A">
        <w:trPr>
          <w:trHeight w:val="262"/>
        </w:trPr>
        <w:tc>
          <w:tcPr>
            <w:tcW w:w="413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Interest on securities </w:t>
            </w:r>
          </w:p>
        </w:tc>
        <w:tc>
          <w:tcPr>
            <w:tcW w:w="24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59" w:firstLine="0"/>
              <w:jc w:val="right"/>
            </w:pPr>
            <w:r>
              <w:t xml:space="preserve">192,314,482,681 </w:t>
            </w:r>
          </w:p>
        </w:tc>
      </w:tr>
      <w:tr w:rsidR="001C682A">
        <w:trPr>
          <w:trHeight w:val="517"/>
        </w:trPr>
        <w:tc>
          <w:tcPr>
            <w:tcW w:w="413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pPr>
            <w:r>
              <w:t xml:space="preserve">Interest on loan for agriculture, fabrication and cottage industry </w:t>
            </w:r>
          </w:p>
        </w:tc>
        <w:tc>
          <w:tcPr>
            <w:tcW w:w="2432" w:type="dxa"/>
            <w:tcBorders>
              <w:top w:val="single" w:sz="4" w:space="0" w:color="000000"/>
              <w:left w:val="single" w:sz="4" w:space="0" w:color="000000"/>
              <w:bottom w:val="single" w:sz="4" w:space="0" w:color="000000"/>
              <w:right w:val="single" w:sz="4" w:space="0" w:color="000000"/>
            </w:tcBorders>
            <w:vAlign w:val="center"/>
          </w:tcPr>
          <w:p w:rsidR="001C682A" w:rsidRDefault="00B03C38">
            <w:pPr>
              <w:spacing w:after="0" w:line="259" w:lineRule="auto"/>
              <w:ind w:left="0" w:right="58" w:firstLine="0"/>
              <w:jc w:val="right"/>
            </w:pPr>
            <w:r>
              <w:t xml:space="preserve">3,332,476,774,810 </w:t>
            </w:r>
          </w:p>
        </w:tc>
      </w:tr>
      <w:tr w:rsidR="001C682A">
        <w:trPr>
          <w:trHeight w:val="264"/>
        </w:trPr>
        <w:tc>
          <w:tcPr>
            <w:tcW w:w="413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Deductibles under S. 23(1) CITA </w:t>
            </w:r>
          </w:p>
        </w:tc>
        <w:tc>
          <w:tcPr>
            <w:tcW w:w="24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59" w:firstLine="0"/>
              <w:jc w:val="right"/>
            </w:pPr>
            <w:r>
              <w:t xml:space="preserve">59,410,943,239 </w:t>
            </w:r>
          </w:p>
        </w:tc>
      </w:tr>
      <w:tr w:rsidR="001C682A">
        <w:trPr>
          <w:trHeight w:val="264"/>
        </w:trPr>
        <w:tc>
          <w:tcPr>
            <w:tcW w:w="4136"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firstLine="0"/>
              <w:jc w:val="left"/>
            </w:pPr>
            <w:r>
              <w:t xml:space="preserve">Research and development </w:t>
            </w:r>
          </w:p>
        </w:tc>
        <w:tc>
          <w:tcPr>
            <w:tcW w:w="2432" w:type="dxa"/>
            <w:tcBorders>
              <w:top w:val="single" w:sz="4" w:space="0" w:color="000000"/>
              <w:left w:val="single" w:sz="4" w:space="0" w:color="000000"/>
              <w:bottom w:val="single" w:sz="4" w:space="0" w:color="000000"/>
              <w:right w:val="single" w:sz="4" w:space="0" w:color="000000"/>
            </w:tcBorders>
          </w:tcPr>
          <w:p w:rsidR="001C682A" w:rsidRDefault="00B03C38">
            <w:pPr>
              <w:spacing w:after="0" w:line="259" w:lineRule="auto"/>
              <w:ind w:left="0" w:right="58" w:firstLine="0"/>
              <w:jc w:val="right"/>
            </w:pPr>
            <w:r>
              <w:t xml:space="preserve">113,732,080,157 </w:t>
            </w:r>
          </w:p>
        </w:tc>
      </w:tr>
    </w:tbl>
    <w:p w:rsidR="001C682A" w:rsidRDefault="00B03C38">
      <w:pPr>
        <w:spacing w:after="0" w:line="259" w:lineRule="auto"/>
        <w:ind w:left="218" w:firstLine="0"/>
        <w:jc w:val="left"/>
      </w:pPr>
      <w:r>
        <w:t xml:space="preserve"> </w:t>
      </w:r>
    </w:p>
    <w:p w:rsidR="001C682A" w:rsidRDefault="00B03C38">
      <w:pPr>
        <w:ind w:left="236" w:right="816"/>
      </w:pPr>
      <w:r>
        <w:t xml:space="preserve">Conglomerates and Information &amp; Communication companies also seem to benefit disproportionately, but further disaggregated information is needed to determine the extent. Oil Producing entities benefit from significant PPTA concessions but the tax foregone will be calculated when sufficient data are received. </w:t>
      </w:r>
    </w:p>
    <w:p w:rsidR="001C682A" w:rsidRDefault="00B03C38">
      <w:pPr>
        <w:spacing w:after="0" w:line="259" w:lineRule="auto"/>
        <w:ind w:left="218" w:firstLine="0"/>
        <w:jc w:val="left"/>
      </w:pPr>
      <w:r>
        <w:t xml:space="preserve"> </w:t>
      </w:r>
    </w:p>
    <w:p w:rsidR="001C682A" w:rsidRDefault="00B03C38">
      <w:pPr>
        <w:ind w:left="236" w:right="816"/>
      </w:pPr>
      <w:r>
        <w:t xml:space="preserve">CIT forgone under NEPZA and PSI schemes was NGN 8.49 billion and NGN 10.49 billion, respectively, although these amounts are subject to change as more data become available. </w:t>
      </w:r>
    </w:p>
    <w:p w:rsidR="001C682A" w:rsidRDefault="00B03C38">
      <w:pPr>
        <w:ind w:left="236" w:right="816"/>
      </w:pPr>
      <w:r>
        <w:t xml:space="preserve">The oil and gas sector </w:t>
      </w:r>
      <w:proofErr w:type="gramStart"/>
      <w:r>
        <w:t>shows</w:t>
      </w:r>
      <w:proofErr w:type="gramEnd"/>
      <w:r>
        <w:t xml:space="preserve"> significant deductions taken, which requires further analysis to assess the full impact PPT and OGZ concessions.  </w:t>
      </w:r>
    </w:p>
    <w:p w:rsidR="001C682A" w:rsidRDefault="00B03C38">
      <w:pPr>
        <w:spacing w:after="0" w:line="259" w:lineRule="auto"/>
        <w:ind w:left="218" w:firstLine="0"/>
        <w:jc w:val="left"/>
      </w:pPr>
      <w:r>
        <w:t xml:space="preserve"> </w:t>
      </w:r>
    </w:p>
    <w:p w:rsidR="001C682A" w:rsidRDefault="00B03C38">
      <w:pPr>
        <w:ind w:left="236" w:right="816"/>
      </w:pPr>
      <w:r>
        <w:t xml:space="preserve">The exercise has also revealed compliance issues that need to be addressed.  </w:t>
      </w:r>
    </w:p>
    <w:p w:rsidR="001C682A" w:rsidRDefault="00B03C38">
      <w:pPr>
        <w:spacing w:after="40" w:line="259" w:lineRule="auto"/>
        <w:ind w:left="218" w:firstLine="0"/>
        <w:jc w:val="left"/>
      </w:pPr>
      <w:r>
        <w:t xml:space="preserve"> </w:t>
      </w:r>
    </w:p>
    <w:p w:rsidR="001C682A" w:rsidRDefault="00B03C38">
      <w:pPr>
        <w:spacing w:after="0" w:line="259" w:lineRule="auto"/>
        <w:ind w:left="213"/>
        <w:jc w:val="left"/>
      </w:pPr>
      <w:r>
        <w:rPr>
          <w:rFonts w:ascii="Calibri" w:eastAsia="Calibri" w:hAnsi="Calibri" w:cs="Calibri"/>
          <w:sz w:val="24"/>
        </w:rPr>
        <w:t xml:space="preserve">3.1.2. Methodology </w:t>
      </w:r>
    </w:p>
    <w:p w:rsidR="001C682A" w:rsidRDefault="00B03C38">
      <w:pPr>
        <w:spacing w:after="0" w:line="259" w:lineRule="auto"/>
        <w:ind w:left="218" w:firstLine="0"/>
        <w:jc w:val="left"/>
      </w:pPr>
      <w:r>
        <w:rPr>
          <w:rFonts w:ascii="Franklin Gothic Book" w:eastAsia="Franklin Gothic Book" w:hAnsi="Franklin Gothic Book" w:cs="Franklin Gothic Book"/>
          <w:sz w:val="24"/>
        </w:rPr>
        <w:t xml:space="preserve"> </w:t>
      </w:r>
    </w:p>
    <w:p w:rsidR="001C682A" w:rsidRDefault="00B03C38">
      <w:pPr>
        <w:ind w:left="236" w:right="816"/>
      </w:pPr>
      <w:r>
        <w:t xml:space="preserve">FIRS provided sectoral data on only CIT returns filed online and on allowed deductions (incentives and concessions) presumably for both online and manual filings. The total tax assessed for online returns represented 61.25 percent of total CIT collections, the latter taken as the proxy for the total tax assessed entire filing population (i.e., for both online and manual return filings). This ratio was applied on a pro-rata basis to derive allowed deductions for online filings. The assessable profits were then adjusted by the allowed deductions to calculate the benchmark taxable amount, to which a benchmark tax rate of 30 percent was applied to obtain benchmark tax. The difference between the benchmark tax and the original assessed tax represented the tax forgone on online return filings. The results were then scaled up by the same ratio to derive the total CIT foregone for the entire population.  </w:t>
      </w:r>
    </w:p>
    <w:p w:rsidR="001C682A" w:rsidRDefault="00B03C38">
      <w:pPr>
        <w:spacing w:after="41" w:line="259" w:lineRule="auto"/>
        <w:ind w:left="218" w:firstLine="0"/>
        <w:jc w:val="left"/>
      </w:pPr>
      <w:r>
        <w:rPr>
          <w:rFonts w:ascii="Times New Roman" w:eastAsia="Times New Roman" w:hAnsi="Times New Roman" w:cs="Times New Roman"/>
          <w:color w:val="FF0000"/>
        </w:rPr>
        <w:t xml:space="preserve"> </w:t>
      </w:r>
    </w:p>
    <w:p w:rsidR="001C682A" w:rsidRDefault="00B03C38">
      <w:pPr>
        <w:spacing w:after="0" w:line="259" w:lineRule="auto"/>
        <w:ind w:left="213"/>
        <w:jc w:val="left"/>
      </w:pPr>
      <w:r>
        <w:rPr>
          <w:rFonts w:ascii="Calibri" w:eastAsia="Calibri" w:hAnsi="Calibri" w:cs="Calibri"/>
          <w:sz w:val="24"/>
        </w:rPr>
        <w:t xml:space="preserve">3.1.3. Caveats </w:t>
      </w:r>
    </w:p>
    <w:p w:rsidR="001C682A" w:rsidRDefault="00B03C38">
      <w:pPr>
        <w:spacing w:after="0" w:line="259" w:lineRule="auto"/>
        <w:ind w:left="218" w:firstLine="0"/>
        <w:jc w:val="left"/>
      </w:pPr>
      <w:r>
        <w:rPr>
          <w:rFonts w:ascii="Franklin Gothic Book" w:eastAsia="Franklin Gothic Book" w:hAnsi="Franklin Gothic Book" w:cs="Franklin Gothic Book"/>
          <w:sz w:val="24"/>
        </w:rPr>
        <w:t xml:space="preserve"> </w:t>
      </w:r>
    </w:p>
    <w:p w:rsidR="001C682A" w:rsidRDefault="00B03C38">
      <w:pPr>
        <w:numPr>
          <w:ilvl w:val="0"/>
          <w:numId w:val="15"/>
        </w:numPr>
        <w:ind w:right="816" w:hanging="218"/>
      </w:pPr>
      <w:r>
        <w:t xml:space="preserve">Some non-oil/gas companies, such as those in “agriculture and plantations” and “other manufacturing” sectors, benefit from PPTA deductions; the interaction between the charge to PPT and CIT in the same entity requires further investigation.    </w:t>
      </w:r>
    </w:p>
    <w:p w:rsidR="001C682A" w:rsidRDefault="00B03C38">
      <w:pPr>
        <w:numPr>
          <w:ilvl w:val="0"/>
          <w:numId w:val="15"/>
        </w:numPr>
        <w:ind w:right="816" w:hanging="218"/>
      </w:pPr>
      <w:r>
        <w:t xml:space="preserve">The allowed deductions are not detailed; for instance, there is no distinction between accelerated depreciation and current charge. </w:t>
      </w:r>
    </w:p>
    <w:p w:rsidR="001C682A" w:rsidRDefault="00B03C38">
      <w:pPr>
        <w:numPr>
          <w:ilvl w:val="0"/>
          <w:numId w:val="15"/>
        </w:numPr>
        <w:ind w:right="816" w:hanging="218"/>
      </w:pPr>
      <w:r>
        <w:t xml:space="preserve">While a 30% CIT rate has been assumed, there are companies eligible for the 20% rate but data were not available on the distribution. </w:t>
      </w:r>
    </w:p>
    <w:p w:rsidR="001C682A" w:rsidRDefault="00B03C38">
      <w:pPr>
        <w:numPr>
          <w:ilvl w:val="0"/>
          <w:numId w:val="15"/>
        </w:numPr>
        <w:ind w:right="816" w:hanging="218"/>
      </w:pPr>
      <w:r>
        <w:t xml:space="preserve">An assumption was made that online returns map perfectly to the overall return filing </w:t>
      </w:r>
      <w:proofErr w:type="spellStart"/>
      <w:r>
        <w:t>behavior</w:t>
      </w:r>
      <w:proofErr w:type="spellEnd"/>
      <w:r>
        <w:t xml:space="preserve">. </w:t>
      </w:r>
    </w:p>
    <w:p w:rsidR="001C682A" w:rsidRDefault="00B03C38">
      <w:pPr>
        <w:numPr>
          <w:ilvl w:val="0"/>
          <w:numId w:val="15"/>
        </w:numPr>
        <w:ind w:right="816" w:hanging="218"/>
      </w:pPr>
      <w:r>
        <w:t xml:space="preserve">Lack of firm-level data exposes the estimates to aggregation bias.  </w:t>
      </w:r>
    </w:p>
    <w:p w:rsidR="001C682A" w:rsidRDefault="00B03C38">
      <w:pPr>
        <w:numPr>
          <w:ilvl w:val="0"/>
          <w:numId w:val="15"/>
        </w:numPr>
        <w:ind w:right="816" w:hanging="218"/>
      </w:pPr>
      <w:r>
        <w:t xml:space="preserve">Preliminary analysis of PSI status companies on NIPC website and data provided indicate a higher number of businesses benefiting from tax concessions than those reported. Data were provided on 26 businesses whereas the NIPC quarterly reports indicate at least 41 PSI beneficiaries in 2019.   </w:t>
      </w:r>
    </w:p>
    <w:p w:rsidR="001C682A" w:rsidRDefault="00B03C38">
      <w:pPr>
        <w:numPr>
          <w:ilvl w:val="0"/>
          <w:numId w:val="15"/>
        </w:numPr>
        <w:ind w:right="816" w:hanging="218"/>
      </w:pPr>
      <w:r>
        <w:lastRenderedPageBreak/>
        <w:t xml:space="preserve">For PSI, the tax forgone was reported by FIRS. However, this is likely to be only the assessed tax forgone without considering some addbacks for tax expenditures as under the WBG methodology. </w:t>
      </w:r>
    </w:p>
    <w:p w:rsidR="001C682A" w:rsidRDefault="00B03C38">
      <w:pPr>
        <w:spacing w:after="416" w:line="259" w:lineRule="auto"/>
        <w:ind w:left="218" w:firstLine="0"/>
        <w:jc w:val="left"/>
      </w:pPr>
      <w:r>
        <w:rPr>
          <w:rFonts w:ascii="Times New Roman" w:eastAsia="Times New Roman" w:hAnsi="Times New Roman" w:cs="Times New Roman"/>
        </w:rPr>
        <w:t xml:space="preserve"> </w:t>
      </w:r>
    </w:p>
    <w:p w:rsidR="001C682A" w:rsidRDefault="00B03C38">
      <w:pPr>
        <w:pStyle w:val="Heading8"/>
        <w:ind w:left="213" w:right="485"/>
      </w:pPr>
      <w:r>
        <w:t xml:space="preserve">3.2. VAT forgone revenue estimates </w:t>
      </w:r>
    </w:p>
    <w:p w:rsidR="001C682A" w:rsidRDefault="00B03C38">
      <w:pPr>
        <w:spacing w:after="187" w:line="259" w:lineRule="auto"/>
        <w:ind w:left="190" w:firstLine="0"/>
        <w:jc w:val="left"/>
      </w:pPr>
      <w:r>
        <w:rPr>
          <w:rFonts w:ascii="Calibri" w:eastAsia="Calibri" w:hAnsi="Calibri" w:cs="Calibri"/>
          <w:noProof/>
        </w:rPr>
        <mc:AlternateContent>
          <mc:Choice Requires="wpg">
            <w:drawing>
              <wp:inline distT="0" distB="0" distL="0" distR="0">
                <wp:extent cx="5764658" cy="6096"/>
                <wp:effectExtent l="0" t="0" r="0" b="0"/>
                <wp:docPr id="344228" name="Group 344228"/>
                <wp:cNvGraphicFramePr/>
                <a:graphic xmlns:a="http://schemas.openxmlformats.org/drawingml/2006/main">
                  <a:graphicData uri="http://schemas.microsoft.com/office/word/2010/wordprocessingGroup">
                    <wpg:wgp>
                      <wpg:cNvGrpSpPr/>
                      <wpg:grpSpPr>
                        <a:xfrm>
                          <a:off x="0" y="0"/>
                          <a:ext cx="5764658" cy="6096"/>
                          <a:chOff x="0" y="0"/>
                          <a:chExt cx="5764658" cy="6096"/>
                        </a:xfrm>
                      </wpg:grpSpPr>
                      <wps:wsp>
                        <wps:cNvPr id="395879" name="Shape 395879"/>
                        <wps:cNvSpPr/>
                        <wps:spPr>
                          <a:xfrm>
                            <a:off x="0" y="0"/>
                            <a:ext cx="5764658" cy="9144"/>
                          </a:xfrm>
                          <a:custGeom>
                            <a:avLst/>
                            <a:gdLst/>
                            <a:ahLst/>
                            <a:cxnLst/>
                            <a:rect l="0" t="0" r="0" b="0"/>
                            <a:pathLst>
                              <a:path w="5764658" h="9144">
                                <a:moveTo>
                                  <a:pt x="0" y="0"/>
                                </a:moveTo>
                                <a:lnTo>
                                  <a:pt x="5764658" y="0"/>
                                </a:lnTo>
                                <a:lnTo>
                                  <a:pt x="5764658" y="9144"/>
                                </a:lnTo>
                                <a:lnTo>
                                  <a:pt x="0" y="9144"/>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44228" style="width:453.91pt;height:0.47998pt;mso-position-horizontal-relative:char;mso-position-vertical-relative:line" coordsize="57646,60">
                <v:shape id="Shape 395880" style="position:absolute;width:57646;height:91;left:0;top:0;" coordsize="5764658,9144" path="m0,0l5764658,0l5764658,9144l0,9144l0,0">
                  <v:stroke weight="0pt" endcap="flat" joinstyle="miter" miterlimit="10" on="false" color="#000000" opacity="0"/>
                  <v:fill on="true" color="#000080"/>
                </v:shape>
              </v:group>
            </w:pict>
          </mc:Fallback>
        </mc:AlternateContent>
      </w:r>
    </w:p>
    <w:p w:rsidR="001C682A" w:rsidRDefault="00B03C38">
      <w:pPr>
        <w:spacing w:after="92"/>
        <w:ind w:left="236" w:right="816"/>
      </w:pPr>
      <w:r>
        <w:t xml:space="preserve">Preliminary analysis suggests that the Nigerian VAT revenue foregone from policy choices and other leakages is significant. In 2019 Nigeria’s VAT revenue (net of input tax credits) was about 1.2 trillion Naira compared to the country’s revenue potential of about 4.3 trillion Naira. Moreover, it appears that a significant proportion of Nigeria’s VAT revenue comes from the imposition of tax on capital inputs. </w:t>
      </w:r>
    </w:p>
    <w:p w:rsidR="001C682A" w:rsidRDefault="00B03C38">
      <w:pPr>
        <w:spacing w:after="86"/>
        <w:ind w:left="236" w:right="816"/>
      </w:pPr>
      <w:r>
        <w:t xml:space="preserve">These estimates are based on supply use tables from 2010 grown to 2019 using the growth in VAT over the same period. In the nine years following the release of the most current supply use tables the compound average growth rate for VAT in Nigeria was about 8.7%. By way of contrast, inflation was estimated to be well over 11%. Nigeria’s nominal VAT is not keeping pace with inflation. </w:t>
      </w:r>
    </w:p>
    <w:p w:rsidR="001C682A" w:rsidRDefault="00B03C38">
      <w:pPr>
        <w:spacing w:after="90"/>
        <w:ind w:left="236" w:right="816"/>
      </w:pPr>
      <w:r>
        <w:t xml:space="preserve">The 2019 estimates are based on a VAT rate of 5%, the prevailing rate throughout that year. In 2020 Nigeria raised its VAT rate to 7.5%. The preliminary estimates of the potential revenue foregone suggests that broadening the tax base and granting input tax credits throughout the supply chain has greater revenue potential than the 2 ½ percentage point rate increase. </w:t>
      </w:r>
    </w:p>
    <w:p w:rsidR="001C682A" w:rsidRDefault="00B03C38">
      <w:pPr>
        <w:spacing w:after="90"/>
        <w:ind w:left="236" w:right="816"/>
      </w:pPr>
      <w:r>
        <w:t xml:space="preserve">Investments in construction, machinery and equipment and other types of capital formation are the backbone of productivity growth. However, with the exception of the special economic zones and the oil and gas sector, these critical investments are subject to VAT in Nigeria. In fact, if all the capital purchases in the country were denied input tax credits, as stipulated in the law, over 90% of the Nigerian VAT revenue may have come from tax on capital. </w:t>
      </w:r>
    </w:p>
    <w:p w:rsidR="001C682A" w:rsidRDefault="00B03C38">
      <w:pPr>
        <w:ind w:left="236" w:right="816"/>
      </w:pPr>
      <w:r>
        <w:t xml:space="preserve">Typically, basic food, healthcare and education account for the largest proportions of VAT relief in most countries. This distribution is a sharp contrast to Nigeria. Chart 3.1.1 shows the VAT leakage by sector. The 10 sectors shown in the chart are the largest beneficiaries of Nigerian VAT revenue relief; they account for about 90% of the foregone revenue. Crop production accounts for over 40% of the foregone VAT revenue in the country, followed by public administration at 12%. Real estate, education, and telecommunications account for 8%, 6% and 6% respectively.  </w:t>
      </w:r>
    </w:p>
    <w:p w:rsidR="001C682A" w:rsidRDefault="00B03C38">
      <w:pPr>
        <w:spacing w:after="370" w:line="259" w:lineRule="auto"/>
        <w:ind w:left="218" w:firstLine="0"/>
        <w:jc w:val="left"/>
      </w:pPr>
      <w:r>
        <w:rPr>
          <w:rFonts w:ascii="Calibri" w:eastAsia="Calibri" w:hAnsi="Calibri" w:cs="Calibri"/>
          <w:noProof/>
        </w:rPr>
        <w:lastRenderedPageBreak/>
        <mc:AlternateContent>
          <mc:Choice Requires="wpg">
            <w:drawing>
              <wp:inline distT="0" distB="0" distL="0" distR="0">
                <wp:extent cx="4615612" cy="3009026"/>
                <wp:effectExtent l="0" t="0" r="0" b="0"/>
                <wp:docPr id="346189" name="Group 346189"/>
                <wp:cNvGraphicFramePr/>
                <a:graphic xmlns:a="http://schemas.openxmlformats.org/drawingml/2006/main">
                  <a:graphicData uri="http://schemas.microsoft.com/office/word/2010/wordprocessingGroup">
                    <wpg:wgp>
                      <wpg:cNvGrpSpPr/>
                      <wpg:grpSpPr>
                        <a:xfrm>
                          <a:off x="0" y="0"/>
                          <a:ext cx="4615612" cy="3009026"/>
                          <a:chOff x="0" y="0"/>
                          <a:chExt cx="4615612" cy="3009026"/>
                        </a:xfrm>
                      </wpg:grpSpPr>
                      <wps:wsp>
                        <wps:cNvPr id="62154" name="Rectangle 62154"/>
                        <wps:cNvSpPr/>
                        <wps:spPr>
                          <a:xfrm>
                            <a:off x="305" y="0"/>
                            <a:ext cx="454972" cy="207921"/>
                          </a:xfrm>
                          <a:prstGeom prst="rect">
                            <a:avLst/>
                          </a:prstGeom>
                          <a:ln>
                            <a:noFill/>
                          </a:ln>
                        </wps:spPr>
                        <wps:txbx>
                          <w:txbxContent>
                            <w:p w:rsidR="002010BA" w:rsidRDefault="002010BA">
                              <w:pPr>
                                <w:spacing w:after="160" w:line="259" w:lineRule="auto"/>
                                <w:ind w:left="0" w:firstLine="0"/>
                                <w:jc w:val="left"/>
                              </w:pPr>
                              <w:r>
                                <w:t>Chart</w:t>
                              </w:r>
                            </w:p>
                          </w:txbxContent>
                        </wps:txbx>
                        <wps:bodyPr horzOverflow="overflow" vert="horz" lIns="0" tIns="0" rIns="0" bIns="0" rtlCol="0">
                          <a:noAutofit/>
                        </wps:bodyPr>
                      </wps:wsp>
                      <wps:wsp>
                        <wps:cNvPr id="62155" name="Rectangle 62155"/>
                        <wps:cNvSpPr/>
                        <wps:spPr>
                          <a:xfrm>
                            <a:off x="343205" y="0"/>
                            <a:ext cx="51809" cy="207921"/>
                          </a:xfrm>
                          <a:prstGeom prst="rect">
                            <a:avLst/>
                          </a:prstGeom>
                          <a:ln>
                            <a:noFill/>
                          </a:ln>
                        </wps:spPr>
                        <wps:txbx>
                          <w:txbxContent>
                            <w:p w:rsidR="002010BA" w:rsidRDefault="002010BA">
                              <w:pPr>
                                <w:spacing w:after="160" w:line="259" w:lineRule="auto"/>
                                <w:ind w:left="0" w:firstLine="0"/>
                                <w:jc w:val="left"/>
                              </w:pPr>
                              <w:r>
                                <w:t xml:space="preserve"> </w:t>
                              </w:r>
                            </w:p>
                          </w:txbxContent>
                        </wps:txbx>
                        <wps:bodyPr horzOverflow="overflow" vert="horz" lIns="0" tIns="0" rIns="0" bIns="0" rtlCol="0">
                          <a:noAutofit/>
                        </wps:bodyPr>
                      </wps:wsp>
                      <wps:wsp>
                        <wps:cNvPr id="62156" name="Rectangle 62156"/>
                        <wps:cNvSpPr/>
                        <wps:spPr>
                          <a:xfrm>
                            <a:off x="382778" y="0"/>
                            <a:ext cx="413074" cy="207921"/>
                          </a:xfrm>
                          <a:prstGeom prst="rect">
                            <a:avLst/>
                          </a:prstGeom>
                          <a:ln>
                            <a:noFill/>
                          </a:ln>
                        </wps:spPr>
                        <wps:txbx>
                          <w:txbxContent>
                            <w:p w:rsidR="002010BA" w:rsidRDefault="002010BA">
                              <w:pPr>
                                <w:spacing w:after="160" w:line="259" w:lineRule="auto"/>
                                <w:ind w:left="0" w:firstLine="0"/>
                                <w:jc w:val="left"/>
                              </w:pPr>
                              <w:r>
                                <w:t>3.1.1</w:t>
                              </w:r>
                            </w:p>
                          </w:txbxContent>
                        </wps:txbx>
                        <wps:bodyPr horzOverflow="overflow" vert="horz" lIns="0" tIns="0" rIns="0" bIns="0" rtlCol="0">
                          <a:noAutofit/>
                        </wps:bodyPr>
                      </wps:wsp>
                      <wps:wsp>
                        <wps:cNvPr id="62157" name="Rectangle 62157"/>
                        <wps:cNvSpPr/>
                        <wps:spPr>
                          <a:xfrm>
                            <a:off x="692150" y="0"/>
                            <a:ext cx="51809" cy="207921"/>
                          </a:xfrm>
                          <a:prstGeom prst="rect">
                            <a:avLst/>
                          </a:prstGeom>
                          <a:ln>
                            <a:noFill/>
                          </a:ln>
                        </wps:spPr>
                        <wps:txbx>
                          <w:txbxContent>
                            <w:p w:rsidR="002010BA" w:rsidRDefault="002010BA">
                              <w:pPr>
                                <w:spacing w:after="160" w:line="259" w:lineRule="auto"/>
                                <w:ind w:left="0" w:firstLine="0"/>
                                <w:jc w:val="left"/>
                              </w:pPr>
                              <w:r>
                                <w:t xml:space="preserve"> </w:t>
                              </w:r>
                            </w:p>
                          </w:txbxContent>
                        </wps:txbx>
                        <wps:bodyPr horzOverflow="overflow" vert="horz" lIns="0" tIns="0" rIns="0" bIns="0" rtlCol="0">
                          <a:noAutofit/>
                        </wps:bodyPr>
                      </wps:wsp>
                      <wps:wsp>
                        <wps:cNvPr id="62158" name="Rectangle 62158"/>
                        <wps:cNvSpPr/>
                        <wps:spPr>
                          <a:xfrm>
                            <a:off x="4573270" y="2839100"/>
                            <a:ext cx="56314" cy="226001"/>
                          </a:xfrm>
                          <a:prstGeom prst="rect">
                            <a:avLst/>
                          </a:prstGeom>
                          <a:ln>
                            <a:noFill/>
                          </a:ln>
                        </wps:spPr>
                        <wps:txbx>
                          <w:txbxContent>
                            <w:p w:rsidR="002010BA" w:rsidRDefault="002010BA">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62460" name="Shape 62460"/>
                        <wps:cNvSpPr/>
                        <wps:spPr>
                          <a:xfrm>
                            <a:off x="2299716" y="748807"/>
                            <a:ext cx="0" cy="1944751"/>
                          </a:xfrm>
                          <a:custGeom>
                            <a:avLst/>
                            <a:gdLst/>
                            <a:ahLst/>
                            <a:cxnLst/>
                            <a:rect l="0" t="0" r="0" b="0"/>
                            <a:pathLst>
                              <a:path h="1944751">
                                <a:moveTo>
                                  <a:pt x="0" y="0"/>
                                </a:moveTo>
                                <a:lnTo>
                                  <a:pt x="0" y="194475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461" name="Shape 62461"/>
                        <wps:cNvSpPr/>
                        <wps:spPr>
                          <a:xfrm>
                            <a:off x="2526792" y="748807"/>
                            <a:ext cx="0" cy="1944751"/>
                          </a:xfrm>
                          <a:custGeom>
                            <a:avLst/>
                            <a:gdLst/>
                            <a:ahLst/>
                            <a:cxnLst/>
                            <a:rect l="0" t="0" r="0" b="0"/>
                            <a:pathLst>
                              <a:path h="1944751">
                                <a:moveTo>
                                  <a:pt x="0" y="0"/>
                                </a:moveTo>
                                <a:lnTo>
                                  <a:pt x="0" y="194475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462" name="Shape 62462"/>
                        <wps:cNvSpPr/>
                        <wps:spPr>
                          <a:xfrm>
                            <a:off x="2752344" y="748807"/>
                            <a:ext cx="0" cy="1944751"/>
                          </a:xfrm>
                          <a:custGeom>
                            <a:avLst/>
                            <a:gdLst/>
                            <a:ahLst/>
                            <a:cxnLst/>
                            <a:rect l="0" t="0" r="0" b="0"/>
                            <a:pathLst>
                              <a:path h="1944751">
                                <a:moveTo>
                                  <a:pt x="0" y="0"/>
                                </a:moveTo>
                                <a:lnTo>
                                  <a:pt x="0" y="194475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463" name="Shape 62463"/>
                        <wps:cNvSpPr/>
                        <wps:spPr>
                          <a:xfrm>
                            <a:off x="2979420" y="748807"/>
                            <a:ext cx="0" cy="1944751"/>
                          </a:xfrm>
                          <a:custGeom>
                            <a:avLst/>
                            <a:gdLst/>
                            <a:ahLst/>
                            <a:cxnLst/>
                            <a:rect l="0" t="0" r="0" b="0"/>
                            <a:pathLst>
                              <a:path h="1944751">
                                <a:moveTo>
                                  <a:pt x="0" y="0"/>
                                </a:moveTo>
                                <a:lnTo>
                                  <a:pt x="0" y="194475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464" name="Shape 62464"/>
                        <wps:cNvSpPr/>
                        <wps:spPr>
                          <a:xfrm>
                            <a:off x="3206496" y="748807"/>
                            <a:ext cx="0" cy="1944751"/>
                          </a:xfrm>
                          <a:custGeom>
                            <a:avLst/>
                            <a:gdLst/>
                            <a:ahLst/>
                            <a:cxnLst/>
                            <a:rect l="0" t="0" r="0" b="0"/>
                            <a:pathLst>
                              <a:path h="1944751">
                                <a:moveTo>
                                  <a:pt x="0" y="0"/>
                                </a:moveTo>
                                <a:lnTo>
                                  <a:pt x="0" y="194475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465" name="Shape 62465"/>
                        <wps:cNvSpPr/>
                        <wps:spPr>
                          <a:xfrm>
                            <a:off x="3432048" y="748807"/>
                            <a:ext cx="0" cy="1944751"/>
                          </a:xfrm>
                          <a:custGeom>
                            <a:avLst/>
                            <a:gdLst/>
                            <a:ahLst/>
                            <a:cxnLst/>
                            <a:rect l="0" t="0" r="0" b="0"/>
                            <a:pathLst>
                              <a:path h="1944751">
                                <a:moveTo>
                                  <a:pt x="0" y="0"/>
                                </a:moveTo>
                                <a:lnTo>
                                  <a:pt x="0" y="194475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466" name="Shape 62466"/>
                        <wps:cNvSpPr/>
                        <wps:spPr>
                          <a:xfrm>
                            <a:off x="3659124" y="748807"/>
                            <a:ext cx="0" cy="1944751"/>
                          </a:xfrm>
                          <a:custGeom>
                            <a:avLst/>
                            <a:gdLst/>
                            <a:ahLst/>
                            <a:cxnLst/>
                            <a:rect l="0" t="0" r="0" b="0"/>
                            <a:pathLst>
                              <a:path h="1944751">
                                <a:moveTo>
                                  <a:pt x="0" y="0"/>
                                </a:moveTo>
                                <a:lnTo>
                                  <a:pt x="0" y="194475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467" name="Shape 62467"/>
                        <wps:cNvSpPr/>
                        <wps:spPr>
                          <a:xfrm>
                            <a:off x="3886200" y="748807"/>
                            <a:ext cx="0" cy="1944751"/>
                          </a:xfrm>
                          <a:custGeom>
                            <a:avLst/>
                            <a:gdLst/>
                            <a:ahLst/>
                            <a:cxnLst/>
                            <a:rect l="0" t="0" r="0" b="0"/>
                            <a:pathLst>
                              <a:path h="1944751">
                                <a:moveTo>
                                  <a:pt x="0" y="0"/>
                                </a:moveTo>
                                <a:lnTo>
                                  <a:pt x="0" y="194475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468" name="Shape 62468"/>
                        <wps:cNvSpPr/>
                        <wps:spPr>
                          <a:xfrm>
                            <a:off x="4111752" y="748807"/>
                            <a:ext cx="0" cy="1944751"/>
                          </a:xfrm>
                          <a:custGeom>
                            <a:avLst/>
                            <a:gdLst/>
                            <a:ahLst/>
                            <a:cxnLst/>
                            <a:rect l="0" t="0" r="0" b="0"/>
                            <a:pathLst>
                              <a:path h="1944751">
                                <a:moveTo>
                                  <a:pt x="0" y="0"/>
                                </a:moveTo>
                                <a:lnTo>
                                  <a:pt x="0" y="194475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2469" name="Shape 62469"/>
                        <wps:cNvSpPr/>
                        <wps:spPr>
                          <a:xfrm>
                            <a:off x="4338574" y="748807"/>
                            <a:ext cx="0" cy="1944751"/>
                          </a:xfrm>
                          <a:custGeom>
                            <a:avLst/>
                            <a:gdLst/>
                            <a:ahLst/>
                            <a:cxnLst/>
                            <a:rect l="0" t="0" r="0" b="0"/>
                            <a:pathLst>
                              <a:path h="1944751">
                                <a:moveTo>
                                  <a:pt x="0" y="0"/>
                                </a:moveTo>
                                <a:lnTo>
                                  <a:pt x="0" y="194475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95881" name="Shape 395881"/>
                        <wps:cNvSpPr/>
                        <wps:spPr>
                          <a:xfrm>
                            <a:off x="2073402" y="2561605"/>
                            <a:ext cx="98298" cy="68580"/>
                          </a:xfrm>
                          <a:custGeom>
                            <a:avLst/>
                            <a:gdLst/>
                            <a:ahLst/>
                            <a:cxnLst/>
                            <a:rect l="0" t="0" r="0" b="0"/>
                            <a:pathLst>
                              <a:path w="98298" h="68580">
                                <a:moveTo>
                                  <a:pt x="0" y="0"/>
                                </a:moveTo>
                                <a:lnTo>
                                  <a:pt x="98298" y="0"/>
                                </a:lnTo>
                                <a:lnTo>
                                  <a:pt x="98298" y="68580"/>
                                </a:lnTo>
                                <a:lnTo>
                                  <a:pt x="0" y="685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95882" name="Shape 395882"/>
                        <wps:cNvSpPr/>
                        <wps:spPr>
                          <a:xfrm>
                            <a:off x="2073402" y="2368057"/>
                            <a:ext cx="102870" cy="68580"/>
                          </a:xfrm>
                          <a:custGeom>
                            <a:avLst/>
                            <a:gdLst/>
                            <a:ahLst/>
                            <a:cxnLst/>
                            <a:rect l="0" t="0" r="0" b="0"/>
                            <a:pathLst>
                              <a:path w="102870" h="68580">
                                <a:moveTo>
                                  <a:pt x="0" y="0"/>
                                </a:moveTo>
                                <a:lnTo>
                                  <a:pt x="102870" y="0"/>
                                </a:lnTo>
                                <a:lnTo>
                                  <a:pt x="102870" y="68580"/>
                                </a:lnTo>
                                <a:lnTo>
                                  <a:pt x="0" y="685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95883" name="Shape 395883"/>
                        <wps:cNvSpPr/>
                        <wps:spPr>
                          <a:xfrm>
                            <a:off x="2073402" y="2172985"/>
                            <a:ext cx="104394" cy="68580"/>
                          </a:xfrm>
                          <a:custGeom>
                            <a:avLst/>
                            <a:gdLst/>
                            <a:ahLst/>
                            <a:cxnLst/>
                            <a:rect l="0" t="0" r="0" b="0"/>
                            <a:pathLst>
                              <a:path w="104394" h="68580">
                                <a:moveTo>
                                  <a:pt x="0" y="0"/>
                                </a:moveTo>
                                <a:lnTo>
                                  <a:pt x="104394" y="0"/>
                                </a:lnTo>
                                <a:lnTo>
                                  <a:pt x="104394" y="68580"/>
                                </a:lnTo>
                                <a:lnTo>
                                  <a:pt x="0" y="685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95884" name="Shape 395884"/>
                        <wps:cNvSpPr/>
                        <wps:spPr>
                          <a:xfrm>
                            <a:off x="2073402" y="1977913"/>
                            <a:ext cx="157734" cy="70104"/>
                          </a:xfrm>
                          <a:custGeom>
                            <a:avLst/>
                            <a:gdLst/>
                            <a:ahLst/>
                            <a:cxnLst/>
                            <a:rect l="0" t="0" r="0" b="0"/>
                            <a:pathLst>
                              <a:path w="157734" h="70104">
                                <a:moveTo>
                                  <a:pt x="0" y="0"/>
                                </a:moveTo>
                                <a:lnTo>
                                  <a:pt x="157734" y="0"/>
                                </a:lnTo>
                                <a:lnTo>
                                  <a:pt x="157734" y="70104"/>
                                </a:lnTo>
                                <a:lnTo>
                                  <a:pt x="0" y="7010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95885" name="Shape 395885"/>
                        <wps:cNvSpPr/>
                        <wps:spPr>
                          <a:xfrm>
                            <a:off x="2073402" y="1784365"/>
                            <a:ext cx="223266" cy="68580"/>
                          </a:xfrm>
                          <a:custGeom>
                            <a:avLst/>
                            <a:gdLst/>
                            <a:ahLst/>
                            <a:cxnLst/>
                            <a:rect l="0" t="0" r="0" b="0"/>
                            <a:pathLst>
                              <a:path w="223266" h="68580">
                                <a:moveTo>
                                  <a:pt x="0" y="0"/>
                                </a:moveTo>
                                <a:lnTo>
                                  <a:pt x="223266" y="0"/>
                                </a:lnTo>
                                <a:lnTo>
                                  <a:pt x="223266" y="68580"/>
                                </a:lnTo>
                                <a:lnTo>
                                  <a:pt x="0" y="685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95886" name="Shape 395886"/>
                        <wps:cNvSpPr/>
                        <wps:spPr>
                          <a:xfrm>
                            <a:off x="2073402" y="1589293"/>
                            <a:ext cx="253746" cy="68580"/>
                          </a:xfrm>
                          <a:custGeom>
                            <a:avLst/>
                            <a:gdLst/>
                            <a:ahLst/>
                            <a:cxnLst/>
                            <a:rect l="0" t="0" r="0" b="0"/>
                            <a:pathLst>
                              <a:path w="253746" h="68580">
                                <a:moveTo>
                                  <a:pt x="0" y="0"/>
                                </a:moveTo>
                                <a:lnTo>
                                  <a:pt x="253746" y="0"/>
                                </a:lnTo>
                                <a:lnTo>
                                  <a:pt x="253746" y="68580"/>
                                </a:lnTo>
                                <a:lnTo>
                                  <a:pt x="0" y="685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95887" name="Shape 395887"/>
                        <wps:cNvSpPr/>
                        <wps:spPr>
                          <a:xfrm>
                            <a:off x="2073402" y="1395745"/>
                            <a:ext cx="264414" cy="68580"/>
                          </a:xfrm>
                          <a:custGeom>
                            <a:avLst/>
                            <a:gdLst/>
                            <a:ahLst/>
                            <a:cxnLst/>
                            <a:rect l="0" t="0" r="0" b="0"/>
                            <a:pathLst>
                              <a:path w="264414" h="68580">
                                <a:moveTo>
                                  <a:pt x="0" y="0"/>
                                </a:moveTo>
                                <a:lnTo>
                                  <a:pt x="264414" y="0"/>
                                </a:lnTo>
                                <a:lnTo>
                                  <a:pt x="264414" y="68580"/>
                                </a:lnTo>
                                <a:lnTo>
                                  <a:pt x="0" y="685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95888" name="Shape 395888"/>
                        <wps:cNvSpPr/>
                        <wps:spPr>
                          <a:xfrm>
                            <a:off x="2073402" y="1200673"/>
                            <a:ext cx="348234" cy="68580"/>
                          </a:xfrm>
                          <a:custGeom>
                            <a:avLst/>
                            <a:gdLst/>
                            <a:ahLst/>
                            <a:cxnLst/>
                            <a:rect l="0" t="0" r="0" b="0"/>
                            <a:pathLst>
                              <a:path w="348234" h="68580">
                                <a:moveTo>
                                  <a:pt x="0" y="0"/>
                                </a:moveTo>
                                <a:lnTo>
                                  <a:pt x="348234" y="0"/>
                                </a:lnTo>
                                <a:lnTo>
                                  <a:pt x="348234" y="68580"/>
                                </a:lnTo>
                                <a:lnTo>
                                  <a:pt x="0" y="685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95889" name="Shape 395889"/>
                        <wps:cNvSpPr/>
                        <wps:spPr>
                          <a:xfrm>
                            <a:off x="2073402" y="1005601"/>
                            <a:ext cx="531114" cy="70104"/>
                          </a:xfrm>
                          <a:custGeom>
                            <a:avLst/>
                            <a:gdLst/>
                            <a:ahLst/>
                            <a:cxnLst/>
                            <a:rect l="0" t="0" r="0" b="0"/>
                            <a:pathLst>
                              <a:path w="531114" h="70104">
                                <a:moveTo>
                                  <a:pt x="0" y="0"/>
                                </a:moveTo>
                                <a:lnTo>
                                  <a:pt x="531114" y="0"/>
                                </a:lnTo>
                                <a:lnTo>
                                  <a:pt x="531114" y="70104"/>
                                </a:lnTo>
                                <a:lnTo>
                                  <a:pt x="0" y="7010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95890" name="Shape 395890"/>
                        <wps:cNvSpPr/>
                        <wps:spPr>
                          <a:xfrm>
                            <a:off x="2073402" y="812053"/>
                            <a:ext cx="1995678" cy="68580"/>
                          </a:xfrm>
                          <a:custGeom>
                            <a:avLst/>
                            <a:gdLst/>
                            <a:ahLst/>
                            <a:cxnLst/>
                            <a:rect l="0" t="0" r="0" b="0"/>
                            <a:pathLst>
                              <a:path w="1995678" h="68580">
                                <a:moveTo>
                                  <a:pt x="0" y="0"/>
                                </a:moveTo>
                                <a:lnTo>
                                  <a:pt x="1995678" y="0"/>
                                </a:lnTo>
                                <a:lnTo>
                                  <a:pt x="1995678" y="68580"/>
                                </a:lnTo>
                                <a:lnTo>
                                  <a:pt x="0" y="685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2480" name="Shape 62480"/>
                        <wps:cNvSpPr/>
                        <wps:spPr>
                          <a:xfrm>
                            <a:off x="2073402" y="748807"/>
                            <a:ext cx="0" cy="1944751"/>
                          </a:xfrm>
                          <a:custGeom>
                            <a:avLst/>
                            <a:gdLst/>
                            <a:ahLst/>
                            <a:cxnLst/>
                            <a:rect l="0" t="0" r="0" b="0"/>
                            <a:pathLst>
                              <a:path h="1944751">
                                <a:moveTo>
                                  <a:pt x="0" y="1944751"/>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45612" name="Rectangle 345612"/>
                        <wps:cNvSpPr/>
                        <wps:spPr>
                          <a:xfrm>
                            <a:off x="2058035" y="2786494"/>
                            <a:ext cx="110822" cy="142666"/>
                          </a:xfrm>
                          <a:prstGeom prst="rect">
                            <a:avLst/>
                          </a:prstGeom>
                          <a:ln>
                            <a:noFill/>
                          </a:ln>
                        </wps:spPr>
                        <wps:txbx>
                          <w:txbxContent>
                            <w:p w:rsidR="002010BA" w:rsidRDefault="002010BA">
                              <w:pPr>
                                <w:spacing w:after="160" w:line="259" w:lineRule="auto"/>
                                <w:ind w:left="0" w:firstLine="0"/>
                                <w:jc w:val="left"/>
                              </w:pPr>
                              <w:r>
                                <w:rPr>
                                  <w:color w:val="595959"/>
                                  <w:sz w:val="18"/>
                                </w:rPr>
                                <w:t>%</w:t>
                              </w:r>
                            </w:p>
                          </w:txbxContent>
                        </wps:txbx>
                        <wps:bodyPr horzOverflow="overflow" vert="horz" lIns="0" tIns="0" rIns="0" bIns="0" rtlCol="0">
                          <a:noAutofit/>
                        </wps:bodyPr>
                      </wps:wsp>
                      <wps:wsp>
                        <wps:cNvPr id="345611" name="Rectangle 345611"/>
                        <wps:cNvSpPr/>
                        <wps:spPr>
                          <a:xfrm>
                            <a:off x="2006219" y="2786494"/>
                            <a:ext cx="69321" cy="142666"/>
                          </a:xfrm>
                          <a:prstGeom prst="rect">
                            <a:avLst/>
                          </a:prstGeom>
                          <a:ln>
                            <a:noFill/>
                          </a:ln>
                        </wps:spPr>
                        <wps:txbx>
                          <w:txbxContent>
                            <w:p w:rsidR="002010BA" w:rsidRDefault="002010BA">
                              <w:pPr>
                                <w:spacing w:after="160" w:line="259" w:lineRule="auto"/>
                                <w:ind w:left="0" w:firstLine="0"/>
                                <w:jc w:val="left"/>
                              </w:pPr>
                              <w:r>
                                <w:rPr>
                                  <w:color w:val="595959"/>
                                  <w:sz w:val="18"/>
                                </w:rPr>
                                <w:t>0</w:t>
                              </w:r>
                            </w:p>
                          </w:txbxContent>
                        </wps:txbx>
                        <wps:bodyPr horzOverflow="overflow" vert="horz" lIns="0" tIns="0" rIns="0" bIns="0" rtlCol="0">
                          <a:noAutofit/>
                        </wps:bodyPr>
                      </wps:wsp>
                      <wps:wsp>
                        <wps:cNvPr id="345614" name="Rectangle 345614"/>
                        <wps:cNvSpPr/>
                        <wps:spPr>
                          <a:xfrm>
                            <a:off x="2284730" y="2786494"/>
                            <a:ext cx="110822" cy="142666"/>
                          </a:xfrm>
                          <a:prstGeom prst="rect">
                            <a:avLst/>
                          </a:prstGeom>
                          <a:ln>
                            <a:noFill/>
                          </a:ln>
                        </wps:spPr>
                        <wps:txbx>
                          <w:txbxContent>
                            <w:p w:rsidR="002010BA" w:rsidRDefault="002010BA">
                              <w:pPr>
                                <w:spacing w:after="160" w:line="259" w:lineRule="auto"/>
                                <w:ind w:left="0" w:firstLine="0"/>
                                <w:jc w:val="left"/>
                              </w:pPr>
                              <w:r>
                                <w:rPr>
                                  <w:color w:val="595959"/>
                                  <w:sz w:val="18"/>
                                </w:rPr>
                                <w:t>%</w:t>
                              </w:r>
                            </w:p>
                          </w:txbxContent>
                        </wps:txbx>
                        <wps:bodyPr horzOverflow="overflow" vert="horz" lIns="0" tIns="0" rIns="0" bIns="0" rtlCol="0">
                          <a:noAutofit/>
                        </wps:bodyPr>
                      </wps:wsp>
                      <wps:wsp>
                        <wps:cNvPr id="345613" name="Rectangle 345613"/>
                        <wps:cNvSpPr/>
                        <wps:spPr>
                          <a:xfrm>
                            <a:off x="2232914" y="2786494"/>
                            <a:ext cx="69321" cy="142666"/>
                          </a:xfrm>
                          <a:prstGeom prst="rect">
                            <a:avLst/>
                          </a:prstGeom>
                          <a:ln>
                            <a:noFill/>
                          </a:ln>
                        </wps:spPr>
                        <wps:txbx>
                          <w:txbxContent>
                            <w:p w:rsidR="002010BA" w:rsidRDefault="002010BA">
                              <w:pPr>
                                <w:spacing w:after="160" w:line="259" w:lineRule="auto"/>
                                <w:ind w:left="0" w:firstLine="0"/>
                                <w:jc w:val="left"/>
                              </w:pPr>
                              <w:r>
                                <w:rPr>
                                  <w:color w:val="595959"/>
                                  <w:sz w:val="18"/>
                                </w:rPr>
                                <w:t>5</w:t>
                              </w:r>
                            </w:p>
                          </w:txbxContent>
                        </wps:txbx>
                        <wps:bodyPr horzOverflow="overflow" vert="horz" lIns="0" tIns="0" rIns="0" bIns="0" rtlCol="0">
                          <a:noAutofit/>
                        </wps:bodyPr>
                      </wps:wsp>
                      <wps:wsp>
                        <wps:cNvPr id="345615" name="Rectangle 345615"/>
                        <wps:cNvSpPr/>
                        <wps:spPr>
                          <a:xfrm>
                            <a:off x="2433193" y="2786494"/>
                            <a:ext cx="138236" cy="142666"/>
                          </a:xfrm>
                          <a:prstGeom prst="rect">
                            <a:avLst/>
                          </a:prstGeom>
                          <a:ln>
                            <a:noFill/>
                          </a:ln>
                        </wps:spPr>
                        <wps:txbx>
                          <w:txbxContent>
                            <w:p w:rsidR="002010BA" w:rsidRDefault="002010BA">
                              <w:pPr>
                                <w:spacing w:after="160" w:line="259" w:lineRule="auto"/>
                                <w:ind w:left="0" w:firstLine="0"/>
                                <w:jc w:val="left"/>
                              </w:pPr>
                              <w:r>
                                <w:rPr>
                                  <w:color w:val="595959"/>
                                  <w:sz w:val="18"/>
                                </w:rPr>
                                <w:t>10</w:t>
                              </w:r>
                            </w:p>
                          </w:txbxContent>
                        </wps:txbx>
                        <wps:bodyPr horzOverflow="overflow" vert="horz" lIns="0" tIns="0" rIns="0" bIns="0" rtlCol="0">
                          <a:noAutofit/>
                        </wps:bodyPr>
                      </wps:wsp>
                      <wps:wsp>
                        <wps:cNvPr id="345616" name="Rectangle 345616"/>
                        <wps:cNvSpPr/>
                        <wps:spPr>
                          <a:xfrm>
                            <a:off x="2536825" y="2786494"/>
                            <a:ext cx="110822" cy="142666"/>
                          </a:xfrm>
                          <a:prstGeom prst="rect">
                            <a:avLst/>
                          </a:prstGeom>
                          <a:ln>
                            <a:noFill/>
                          </a:ln>
                        </wps:spPr>
                        <wps:txbx>
                          <w:txbxContent>
                            <w:p w:rsidR="002010BA" w:rsidRDefault="002010BA">
                              <w:pPr>
                                <w:spacing w:after="160" w:line="259" w:lineRule="auto"/>
                                <w:ind w:left="0" w:firstLine="0"/>
                                <w:jc w:val="left"/>
                              </w:pPr>
                              <w:r>
                                <w:rPr>
                                  <w:color w:val="595959"/>
                                  <w:sz w:val="18"/>
                                </w:rPr>
                                <w:t>%</w:t>
                              </w:r>
                            </w:p>
                          </w:txbxContent>
                        </wps:txbx>
                        <wps:bodyPr horzOverflow="overflow" vert="horz" lIns="0" tIns="0" rIns="0" bIns="0" rtlCol="0">
                          <a:noAutofit/>
                        </wps:bodyPr>
                      </wps:wsp>
                      <wps:wsp>
                        <wps:cNvPr id="345618" name="Rectangle 345618"/>
                        <wps:cNvSpPr/>
                        <wps:spPr>
                          <a:xfrm>
                            <a:off x="2763647" y="2786494"/>
                            <a:ext cx="110822" cy="142666"/>
                          </a:xfrm>
                          <a:prstGeom prst="rect">
                            <a:avLst/>
                          </a:prstGeom>
                          <a:ln>
                            <a:noFill/>
                          </a:ln>
                        </wps:spPr>
                        <wps:txbx>
                          <w:txbxContent>
                            <w:p w:rsidR="002010BA" w:rsidRDefault="002010BA">
                              <w:pPr>
                                <w:spacing w:after="160" w:line="259" w:lineRule="auto"/>
                                <w:ind w:left="0" w:firstLine="0"/>
                                <w:jc w:val="left"/>
                              </w:pPr>
                              <w:r>
                                <w:rPr>
                                  <w:color w:val="595959"/>
                                  <w:sz w:val="18"/>
                                </w:rPr>
                                <w:t>%</w:t>
                              </w:r>
                            </w:p>
                          </w:txbxContent>
                        </wps:txbx>
                        <wps:bodyPr horzOverflow="overflow" vert="horz" lIns="0" tIns="0" rIns="0" bIns="0" rtlCol="0">
                          <a:noAutofit/>
                        </wps:bodyPr>
                      </wps:wsp>
                      <wps:wsp>
                        <wps:cNvPr id="345617" name="Rectangle 345617"/>
                        <wps:cNvSpPr/>
                        <wps:spPr>
                          <a:xfrm>
                            <a:off x="2660015" y="2786494"/>
                            <a:ext cx="138236" cy="142666"/>
                          </a:xfrm>
                          <a:prstGeom prst="rect">
                            <a:avLst/>
                          </a:prstGeom>
                          <a:ln>
                            <a:noFill/>
                          </a:ln>
                        </wps:spPr>
                        <wps:txbx>
                          <w:txbxContent>
                            <w:p w:rsidR="002010BA" w:rsidRDefault="002010BA">
                              <w:pPr>
                                <w:spacing w:after="160" w:line="259" w:lineRule="auto"/>
                                <w:ind w:left="0" w:firstLine="0"/>
                                <w:jc w:val="left"/>
                              </w:pPr>
                              <w:r>
                                <w:rPr>
                                  <w:color w:val="595959"/>
                                  <w:sz w:val="18"/>
                                </w:rPr>
                                <w:t>15</w:t>
                              </w:r>
                            </w:p>
                          </w:txbxContent>
                        </wps:txbx>
                        <wps:bodyPr horzOverflow="overflow" vert="horz" lIns="0" tIns="0" rIns="0" bIns="0" rtlCol="0">
                          <a:noAutofit/>
                        </wps:bodyPr>
                      </wps:wsp>
                      <wps:wsp>
                        <wps:cNvPr id="345619" name="Rectangle 345619"/>
                        <wps:cNvSpPr/>
                        <wps:spPr>
                          <a:xfrm>
                            <a:off x="2886456" y="2786494"/>
                            <a:ext cx="138236" cy="142666"/>
                          </a:xfrm>
                          <a:prstGeom prst="rect">
                            <a:avLst/>
                          </a:prstGeom>
                          <a:ln>
                            <a:noFill/>
                          </a:ln>
                        </wps:spPr>
                        <wps:txbx>
                          <w:txbxContent>
                            <w:p w:rsidR="002010BA" w:rsidRDefault="002010BA">
                              <w:pPr>
                                <w:spacing w:after="160" w:line="259" w:lineRule="auto"/>
                                <w:ind w:left="0" w:firstLine="0"/>
                                <w:jc w:val="left"/>
                              </w:pPr>
                              <w:r>
                                <w:rPr>
                                  <w:color w:val="595959"/>
                                  <w:sz w:val="18"/>
                                </w:rPr>
                                <w:t>20</w:t>
                              </w:r>
                            </w:p>
                          </w:txbxContent>
                        </wps:txbx>
                        <wps:bodyPr horzOverflow="overflow" vert="horz" lIns="0" tIns="0" rIns="0" bIns="0" rtlCol="0">
                          <a:noAutofit/>
                        </wps:bodyPr>
                      </wps:wsp>
                      <wps:wsp>
                        <wps:cNvPr id="345620" name="Rectangle 345620"/>
                        <wps:cNvSpPr/>
                        <wps:spPr>
                          <a:xfrm>
                            <a:off x="2990088" y="2786494"/>
                            <a:ext cx="110822" cy="142666"/>
                          </a:xfrm>
                          <a:prstGeom prst="rect">
                            <a:avLst/>
                          </a:prstGeom>
                          <a:ln>
                            <a:noFill/>
                          </a:ln>
                        </wps:spPr>
                        <wps:txbx>
                          <w:txbxContent>
                            <w:p w:rsidR="002010BA" w:rsidRDefault="002010BA">
                              <w:pPr>
                                <w:spacing w:after="160" w:line="259" w:lineRule="auto"/>
                                <w:ind w:left="0" w:firstLine="0"/>
                                <w:jc w:val="left"/>
                              </w:pPr>
                              <w:r>
                                <w:rPr>
                                  <w:color w:val="595959"/>
                                  <w:sz w:val="18"/>
                                </w:rPr>
                                <w:t>%</w:t>
                              </w:r>
                            </w:p>
                          </w:txbxContent>
                        </wps:txbx>
                        <wps:bodyPr horzOverflow="overflow" vert="horz" lIns="0" tIns="0" rIns="0" bIns="0" rtlCol="0">
                          <a:noAutofit/>
                        </wps:bodyPr>
                      </wps:wsp>
                      <wps:wsp>
                        <wps:cNvPr id="345621" name="Rectangle 345621"/>
                        <wps:cNvSpPr/>
                        <wps:spPr>
                          <a:xfrm>
                            <a:off x="3112897" y="2786494"/>
                            <a:ext cx="138236" cy="142666"/>
                          </a:xfrm>
                          <a:prstGeom prst="rect">
                            <a:avLst/>
                          </a:prstGeom>
                          <a:ln>
                            <a:noFill/>
                          </a:ln>
                        </wps:spPr>
                        <wps:txbx>
                          <w:txbxContent>
                            <w:p w:rsidR="002010BA" w:rsidRDefault="002010BA">
                              <w:pPr>
                                <w:spacing w:after="160" w:line="259" w:lineRule="auto"/>
                                <w:ind w:left="0" w:firstLine="0"/>
                                <w:jc w:val="left"/>
                              </w:pPr>
                              <w:r>
                                <w:rPr>
                                  <w:color w:val="595959"/>
                                  <w:sz w:val="18"/>
                                </w:rPr>
                                <w:t>25</w:t>
                              </w:r>
                            </w:p>
                          </w:txbxContent>
                        </wps:txbx>
                        <wps:bodyPr horzOverflow="overflow" vert="horz" lIns="0" tIns="0" rIns="0" bIns="0" rtlCol="0">
                          <a:noAutofit/>
                        </wps:bodyPr>
                      </wps:wsp>
                      <wps:wsp>
                        <wps:cNvPr id="345622" name="Rectangle 345622"/>
                        <wps:cNvSpPr/>
                        <wps:spPr>
                          <a:xfrm>
                            <a:off x="3216529" y="2786494"/>
                            <a:ext cx="110822" cy="142666"/>
                          </a:xfrm>
                          <a:prstGeom prst="rect">
                            <a:avLst/>
                          </a:prstGeom>
                          <a:ln>
                            <a:noFill/>
                          </a:ln>
                        </wps:spPr>
                        <wps:txbx>
                          <w:txbxContent>
                            <w:p w:rsidR="002010BA" w:rsidRDefault="002010BA">
                              <w:pPr>
                                <w:spacing w:after="160" w:line="259" w:lineRule="auto"/>
                                <w:ind w:left="0" w:firstLine="0"/>
                                <w:jc w:val="left"/>
                              </w:pPr>
                              <w:r>
                                <w:rPr>
                                  <w:color w:val="595959"/>
                                  <w:sz w:val="18"/>
                                </w:rPr>
                                <w:t>%</w:t>
                              </w:r>
                            </w:p>
                          </w:txbxContent>
                        </wps:txbx>
                        <wps:bodyPr horzOverflow="overflow" vert="horz" lIns="0" tIns="0" rIns="0" bIns="0" rtlCol="0">
                          <a:noAutofit/>
                        </wps:bodyPr>
                      </wps:wsp>
                      <wps:wsp>
                        <wps:cNvPr id="345623" name="Rectangle 345623"/>
                        <wps:cNvSpPr/>
                        <wps:spPr>
                          <a:xfrm>
                            <a:off x="3339338" y="2786494"/>
                            <a:ext cx="138236" cy="142666"/>
                          </a:xfrm>
                          <a:prstGeom prst="rect">
                            <a:avLst/>
                          </a:prstGeom>
                          <a:ln>
                            <a:noFill/>
                          </a:ln>
                        </wps:spPr>
                        <wps:txbx>
                          <w:txbxContent>
                            <w:p w:rsidR="002010BA" w:rsidRDefault="002010BA">
                              <w:pPr>
                                <w:spacing w:after="160" w:line="259" w:lineRule="auto"/>
                                <w:ind w:left="0" w:firstLine="0"/>
                                <w:jc w:val="left"/>
                              </w:pPr>
                              <w:r>
                                <w:rPr>
                                  <w:color w:val="595959"/>
                                  <w:sz w:val="18"/>
                                </w:rPr>
                                <w:t>30</w:t>
                              </w:r>
                            </w:p>
                          </w:txbxContent>
                        </wps:txbx>
                        <wps:bodyPr horzOverflow="overflow" vert="horz" lIns="0" tIns="0" rIns="0" bIns="0" rtlCol="0">
                          <a:noAutofit/>
                        </wps:bodyPr>
                      </wps:wsp>
                      <wps:wsp>
                        <wps:cNvPr id="345624" name="Rectangle 345624"/>
                        <wps:cNvSpPr/>
                        <wps:spPr>
                          <a:xfrm>
                            <a:off x="3442970" y="2786494"/>
                            <a:ext cx="110822" cy="142666"/>
                          </a:xfrm>
                          <a:prstGeom prst="rect">
                            <a:avLst/>
                          </a:prstGeom>
                          <a:ln>
                            <a:noFill/>
                          </a:ln>
                        </wps:spPr>
                        <wps:txbx>
                          <w:txbxContent>
                            <w:p w:rsidR="002010BA" w:rsidRDefault="002010BA">
                              <w:pPr>
                                <w:spacing w:after="160" w:line="259" w:lineRule="auto"/>
                                <w:ind w:left="0" w:firstLine="0"/>
                                <w:jc w:val="left"/>
                              </w:pPr>
                              <w:r>
                                <w:rPr>
                                  <w:color w:val="595959"/>
                                  <w:sz w:val="18"/>
                                </w:rPr>
                                <w:t>%</w:t>
                              </w:r>
                            </w:p>
                          </w:txbxContent>
                        </wps:txbx>
                        <wps:bodyPr horzOverflow="overflow" vert="horz" lIns="0" tIns="0" rIns="0" bIns="0" rtlCol="0">
                          <a:noAutofit/>
                        </wps:bodyPr>
                      </wps:wsp>
                      <wps:wsp>
                        <wps:cNvPr id="345625" name="Rectangle 345625"/>
                        <wps:cNvSpPr/>
                        <wps:spPr>
                          <a:xfrm>
                            <a:off x="3566160" y="2786494"/>
                            <a:ext cx="138236" cy="142666"/>
                          </a:xfrm>
                          <a:prstGeom prst="rect">
                            <a:avLst/>
                          </a:prstGeom>
                          <a:ln>
                            <a:noFill/>
                          </a:ln>
                        </wps:spPr>
                        <wps:txbx>
                          <w:txbxContent>
                            <w:p w:rsidR="002010BA" w:rsidRDefault="002010BA">
                              <w:pPr>
                                <w:spacing w:after="160" w:line="259" w:lineRule="auto"/>
                                <w:ind w:left="0" w:firstLine="0"/>
                                <w:jc w:val="left"/>
                              </w:pPr>
                              <w:r>
                                <w:rPr>
                                  <w:color w:val="595959"/>
                                  <w:sz w:val="18"/>
                                </w:rPr>
                                <w:t>35</w:t>
                              </w:r>
                            </w:p>
                          </w:txbxContent>
                        </wps:txbx>
                        <wps:bodyPr horzOverflow="overflow" vert="horz" lIns="0" tIns="0" rIns="0" bIns="0" rtlCol="0">
                          <a:noAutofit/>
                        </wps:bodyPr>
                      </wps:wsp>
                      <wps:wsp>
                        <wps:cNvPr id="345626" name="Rectangle 345626"/>
                        <wps:cNvSpPr/>
                        <wps:spPr>
                          <a:xfrm>
                            <a:off x="3669792" y="2786494"/>
                            <a:ext cx="110822" cy="142666"/>
                          </a:xfrm>
                          <a:prstGeom prst="rect">
                            <a:avLst/>
                          </a:prstGeom>
                          <a:ln>
                            <a:noFill/>
                          </a:ln>
                        </wps:spPr>
                        <wps:txbx>
                          <w:txbxContent>
                            <w:p w:rsidR="002010BA" w:rsidRDefault="002010BA">
                              <w:pPr>
                                <w:spacing w:after="160" w:line="259" w:lineRule="auto"/>
                                <w:ind w:left="0" w:firstLine="0"/>
                                <w:jc w:val="left"/>
                              </w:pPr>
                              <w:r>
                                <w:rPr>
                                  <w:color w:val="595959"/>
                                  <w:sz w:val="18"/>
                                </w:rPr>
                                <w:t>%</w:t>
                              </w:r>
                            </w:p>
                          </w:txbxContent>
                        </wps:txbx>
                        <wps:bodyPr horzOverflow="overflow" vert="horz" lIns="0" tIns="0" rIns="0" bIns="0" rtlCol="0">
                          <a:noAutofit/>
                        </wps:bodyPr>
                      </wps:wsp>
                      <wps:wsp>
                        <wps:cNvPr id="345627" name="Rectangle 345627"/>
                        <wps:cNvSpPr/>
                        <wps:spPr>
                          <a:xfrm>
                            <a:off x="3792601" y="2786494"/>
                            <a:ext cx="138236" cy="142666"/>
                          </a:xfrm>
                          <a:prstGeom prst="rect">
                            <a:avLst/>
                          </a:prstGeom>
                          <a:ln>
                            <a:noFill/>
                          </a:ln>
                        </wps:spPr>
                        <wps:txbx>
                          <w:txbxContent>
                            <w:p w:rsidR="002010BA" w:rsidRDefault="002010BA">
                              <w:pPr>
                                <w:spacing w:after="160" w:line="259" w:lineRule="auto"/>
                                <w:ind w:left="0" w:firstLine="0"/>
                                <w:jc w:val="left"/>
                              </w:pPr>
                              <w:r>
                                <w:rPr>
                                  <w:color w:val="595959"/>
                                  <w:sz w:val="18"/>
                                </w:rPr>
                                <w:t>40</w:t>
                              </w:r>
                            </w:p>
                          </w:txbxContent>
                        </wps:txbx>
                        <wps:bodyPr horzOverflow="overflow" vert="horz" lIns="0" tIns="0" rIns="0" bIns="0" rtlCol="0">
                          <a:noAutofit/>
                        </wps:bodyPr>
                      </wps:wsp>
                      <wps:wsp>
                        <wps:cNvPr id="345628" name="Rectangle 345628"/>
                        <wps:cNvSpPr/>
                        <wps:spPr>
                          <a:xfrm>
                            <a:off x="3896233" y="2786494"/>
                            <a:ext cx="110822" cy="142666"/>
                          </a:xfrm>
                          <a:prstGeom prst="rect">
                            <a:avLst/>
                          </a:prstGeom>
                          <a:ln>
                            <a:noFill/>
                          </a:ln>
                        </wps:spPr>
                        <wps:txbx>
                          <w:txbxContent>
                            <w:p w:rsidR="002010BA" w:rsidRDefault="002010BA">
                              <w:pPr>
                                <w:spacing w:after="160" w:line="259" w:lineRule="auto"/>
                                <w:ind w:left="0" w:firstLine="0"/>
                                <w:jc w:val="left"/>
                              </w:pPr>
                              <w:r>
                                <w:rPr>
                                  <w:color w:val="595959"/>
                                  <w:sz w:val="18"/>
                                </w:rPr>
                                <w:t>%</w:t>
                              </w:r>
                            </w:p>
                          </w:txbxContent>
                        </wps:txbx>
                        <wps:bodyPr horzOverflow="overflow" vert="horz" lIns="0" tIns="0" rIns="0" bIns="0" rtlCol="0">
                          <a:noAutofit/>
                        </wps:bodyPr>
                      </wps:wsp>
                      <wps:wsp>
                        <wps:cNvPr id="345629" name="Rectangle 345629"/>
                        <wps:cNvSpPr/>
                        <wps:spPr>
                          <a:xfrm>
                            <a:off x="4019042" y="2786494"/>
                            <a:ext cx="138236" cy="142666"/>
                          </a:xfrm>
                          <a:prstGeom prst="rect">
                            <a:avLst/>
                          </a:prstGeom>
                          <a:ln>
                            <a:noFill/>
                          </a:ln>
                        </wps:spPr>
                        <wps:txbx>
                          <w:txbxContent>
                            <w:p w:rsidR="002010BA" w:rsidRDefault="002010BA">
                              <w:pPr>
                                <w:spacing w:after="160" w:line="259" w:lineRule="auto"/>
                                <w:ind w:left="0" w:firstLine="0"/>
                                <w:jc w:val="left"/>
                              </w:pPr>
                              <w:r>
                                <w:rPr>
                                  <w:color w:val="595959"/>
                                  <w:sz w:val="18"/>
                                </w:rPr>
                                <w:t>45</w:t>
                              </w:r>
                            </w:p>
                          </w:txbxContent>
                        </wps:txbx>
                        <wps:bodyPr horzOverflow="overflow" vert="horz" lIns="0" tIns="0" rIns="0" bIns="0" rtlCol="0">
                          <a:noAutofit/>
                        </wps:bodyPr>
                      </wps:wsp>
                      <wps:wsp>
                        <wps:cNvPr id="345630" name="Rectangle 345630"/>
                        <wps:cNvSpPr/>
                        <wps:spPr>
                          <a:xfrm>
                            <a:off x="4122674" y="2786494"/>
                            <a:ext cx="110822" cy="142666"/>
                          </a:xfrm>
                          <a:prstGeom prst="rect">
                            <a:avLst/>
                          </a:prstGeom>
                          <a:ln>
                            <a:noFill/>
                          </a:ln>
                        </wps:spPr>
                        <wps:txbx>
                          <w:txbxContent>
                            <w:p w:rsidR="002010BA" w:rsidRDefault="002010BA">
                              <w:pPr>
                                <w:spacing w:after="160" w:line="259" w:lineRule="auto"/>
                                <w:ind w:left="0" w:firstLine="0"/>
                                <w:jc w:val="left"/>
                              </w:pPr>
                              <w:r>
                                <w:rPr>
                                  <w:color w:val="595959"/>
                                  <w:sz w:val="18"/>
                                </w:rPr>
                                <w:t>%</w:t>
                              </w:r>
                            </w:p>
                          </w:txbxContent>
                        </wps:txbx>
                        <wps:bodyPr horzOverflow="overflow" vert="horz" lIns="0" tIns="0" rIns="0" bIns="0" rtlCol="0">
                          <a:noAutofit/>
                        </wps:bodyPr>
                      </wps:wsp>
                      <wps:wsp>
                        <wps:cNvPr id="345631" name="Rectangle 345631"/>
                        <wps:cNvSpPr/>
                        <wps:spPr>
                          <a:xfrm>
                            <a:off x="4245864" y="2786494"/>
                            <a:ext cx="138236" cy="142666"/>
                          </a:xfrm>
                          <a:prstGeom prst="rect">
                            <a:avLst/>
                          </a:prstGeom>
                          <a:ln>
                            <a:noFill/>
                          </a:ln>
                        </wps:spPr>
                        <wps:txbx>
                          <w:txbxContent>
                            <w:p w:rsidR="002010BA" w:rsidRDefault="002010BA">
                              <w:pPr>
                                <w:spacing w:after="160" w:line="259" w:lineRule="auto"/>
                                <w:ind w:left="0" w:firstLine="0"/>
                                <w:jc w:val="left"/>
                              </w:pPr>
                              <w:r>
                                <w:rPr>
                                  <w:color w:val="595959"/>
                                  <w:sz w:val="18"/>
                                </w:rPr>
                                <w:t>50</w:t>
                              </w:r>
                            </w:p>
                          </w:txbxContent>
                        </wps:txbx>
                        <wps:bodyPr horzOverflow="overflow" vert="horz" lIns="0" tIns="0" rIns="0" bIns="0" rtlCol="0">
                          <a:noAutofit/>
                        </wps:bodyPr>
                      </wps:wsp>
                      <wps:wsp>
                        <wps:cNvPr id="345632" name="Rectangle 345632"/>
                        <wps:cNvSpPr/>
                        <wps:spPr>
                          <a:xfrm>
                            <a:off x="4349496" y="2786494"/>
                            <a:ext cx="110822" cy="142666"/>
                          </a:xfrm>
                          <a:prstGeom prst="rect">
                            <a:avLst/>
                          </a:prstGeom>
                          <a:ln>
                            <a:noFill/>
                          </a:ln>
                        </wps:spPr>
                        <wps:txbx>
                          <w:txbxContent>
                            <w:p w:rsidR="002010BA" w:rsidRDefault="002010BA">
                              <w:pPr>
                                <w:spacing w:after="160" w:line="259" w:lineRule="auto"/>
                                <w:ind w:left="0" w:firstLine="0"/>
                                <w:jc w:val="left"/>
                              </w:pPr>
                              <w:r>
                                <w:rPr>
                                  <w:color w:val="595959"/>
                                  <w:sz w:val="18"/>
                                </w:rPr>
                                <w:t>%</w:t>
                              </w:r>
                            </w:p>
                          </w:txbxContent>
                        </wps:txbx>
                        <wps:bodyPr horzOverflow="overflow" vert="horz" lIns="0" tIns="0" rIns="0" bIns="0" rtlCol="0">
                          <a:noAutofit/>
                        </wps:bodyPr>
                      </wps:wsp>
                      <wps:wsp>
                        <wps:cNvPr id="62492" name="Rectangle 62492"/>
                        <wps:cNvSpPr/>
                        <wps:spPr>
                          <a:xfrm>
                            <a:off x="1354201" y="2550655"/>
                            <a:ext cx="824247" cy="142666"/>
                          </a:xfrm>
                          <a:prstGeom prst="rect">
                            <a:avLst/>
                          </a:prstGeom>
                          <a:ln>
                            <a:noFill/>
                          </a:ln>
                        </wps:spPr>
                        <wps:txbx>
                          <w:txbxContent>
                            <w:p w:rsidR="002010BA" w:rsidRDefault="002010BA">
                              <w:pPr>
                                <w:spacing w:after="160" w:line="259" w:lineRule="auto"/>
                                <w:ind w:left="0" w:firstLine="0"/>
                                <w:jc w:val="left"/>
                              </w:pPr>
                              <w:r>
                                <w:rPr>
                                  <w:color w:val="595959"/>
                                  <w:sz w:val="18"/>
                                </w:rPr>
                                <w:t>Other Services</w:t>
                              </w:r>
                            </w:p>
                          </w:txbxContent>
                        </wps:txbx>
                        <wps:bodyPr horzOverflow="overflow" vert="horz" lIns="0" tIns="0" rIns="0" bIns="0" rtlCol="0">
                          <a:noAutofit/>
                        </wps:bodyPr>
                      </wps:wsp>
                      <wps:wsp>
                        <wps:cNvPr id="62493" name="Rectangle 62493"/>
                        <wps:cNvSpPr/>
                        <wps:spPr>
                          <a:xfrm>
                            <a:off x="166116" y="2356218"/>
                            <a:ext cx="2527012" cy="142666"/>
                          </a:xfrm>
                          <a:prstGeom prst="rect">
                            <a:avLst/>
                          </a:prstGeom>
                          <a:ln>
                            <a:noFill/>
                          </a:ln>
                        </wps:spPr>
                        <wps:txbx>
                          <w:txbxContent>
                            <w:p w:rsidR="002010BA" w:rsidRDefault="002010BA">
                              <w:pPr>
                                <w:spacing w:after="160" w:line="259" w:lineRule="auto"/>
                                <w:ind w:left="0" w:firstLine="0"/>
                                <w:jc w:val="left"/>
                              </w:pPr>
                              <w:r>
                                <w:rPr>
                                  <w:color w:val="595959"/>
                                  <w:sz w:val="18"/>
                                </w:rPr>
                                <w:t>Motion Pictures, Sound recording and Misic…</w:t>
                              </w:r>
                            </w:p>
                          </w:txbxContent>
                        </wps:txbx>
                        <wps:bodyPr horzOverflow="overflow" vert="horz" lIns="0" tIns="0" rIns="0" bIns="0" rtlCol="0">
                          <a:noAutofit/>
                        </wps:bodyPr>
                      </wps:wsp>
                      <wps:wsp>
                        <wps:cNvPr id="62494" name="Rectangle 62494"/>
                        <wps:cNvSpPr/>
                        <wps:spPr>
                          <a:xfrm>
                            <a:off x="82906" y="2161653"/>
                            <a:ext cx="2513026" cy="142666"/>
                          </a:xfrm>
                          <a:prstGeom prst="rect">
                            <a:avLst/>
                          </a:prstGeom>
                          <a:ln>
                            <a:noFill/>
                          </a:ln>
                        </wps:spPr>
                        <wps:txbx>
                          <w:txbxContent>
                            <w:p w:rsidR="002010BA" w:rsidRDefault="002010BA">
                              <w:pPr>
                                <w:spacing w:after="160" w:line="259" w:lineRule="auto"/>
                                <w:ind w:left="0" w:firstLine="0"/>
                                <w:jc w:val="left"/>
                              </w:pPr>
                              <w:r>
                                <w:rPr>
                                  <w:color w:val="595959"/>
                                  <w:sz w:val="18"/>
                                </w:rPr>
                                <w:t>Professional, Scientific and technical services</w:t>
                              </w:r>
                            </w:p>
                          </w:txbxContent>
                        </wps:txbx>
                        <wps:bodyPr horzOverflow="overflow" vert="horz" lIns="0" tIns="0" rIns="0" bIns="0" rtlCol="0">
                          <a:noAutofit/>
                        </wps:bodyPr>
                      </wps:wsp>
                      <wps:wsp>
                        <wps:cNvPr id="62495" name="Rectangle 62495"/>
                        <wps:cNvSpPr/>
                        <wps:spPr>
                          <a:xfrm>
                            <a:off x="1114298" y="1967216"/>
                            <a:ext cx="1141967" cy="142666"/>
                          </a:xfrm>
                          <a:prstGeom prst="rect">
                            <a:avLst/>
                          </a:prstGeom>
                          <a:ln>
                            <a:noFill/>
                          </a:ln>
                        </wps:spPr>
                        <wps:txbx>
                          <w:txbxContent>
                            <w:p w:rsidR="002010BA" w:rsidRDefault="002010BA">
                              <w:pPr>
                                <w:spacing w:after="160" w:line="259" w:lineRule="auto"/>
                                <w:ind w:left="0" w:firstLine="0"/>
                                <w:jc w:val="left"/>
                              </w:pPr>
                              <w:r>
                                <w:rPr>
                                  <w:color w:val="595959"/>
                                  <w:sz w:val="18"/>
                                </w:rPr>
                                <w:t>Telecommunications</w:t>
                              </w:r>
                            </w:p>
                          </w:txbxContent>
                        </wps:txbx>
                        <wps:bodyPr horzOverflow="overflow" vert="horz" lIns="0" tIns="0" rIns="0" bIns="0" rtlCol="0">
                          <a:noAutofit/>
                        </wps:bodyPr>
                      </wps:wsp>
                      <wps:wsp>
                        <wps:cNvPr id="62496" name="Rectangle 62496"/>
                        <wps:cNvSpPr/>
                        <wps:spPr>
                          <a:xfrm>
                            <a:off x="1557274" y="1772779"/>
                            <a:ext cx="554109" cy="142666"/>
                          </a:xfrm>
                          <a:prstGeom prst="rect">
                            <a:avLst/>
                          </a:prstGeom>
                          <a:ln>
                            <a:noFill/>
                          </a:ln>
                        </wps:spPr>
                        <wps:txbx>
                          <w:txbxContent>
                            <w:p w:rsidR="002010BA" w:rsidRDefault="002010BA">
                              <w:pPr>
                                <w:spacing w:after="160" w:line="259" w:lineRule="auto"/>
                                <w:ind w:left="0" w:firstLine="0"/>
                                <w:jc w:val="left"/>
                              </w:pPr>
                              <w:r>
                                <w:rPr>
                                  <w:color w:val="595959"/>
                                  <w:sz w:val="18"/>
                                </w:rPr>
                                <w:t>Education</w:t>
                              </w:r>
                            </w:p>
                          </w:txbxContent>
                        </wps:txbx>
                        <wps:bodyPr horzOverflow="overflow" vert="horz" lIns="0" tIns="0" rIns="0" bIns="0" rtlCol="0">
                          <a:noAutofit/>
                        </wps:bodyPr>
                      </wps:wsp>
                      <wps:wsp>
                        <wps:cNvPr id="62497" name="Rectangle 62497"/>
                        <wps:cNvSpPr/>
                        <wps:spPr>
                          <a:xfrm>
                            <a:off x="1124712" y="1578342"/>
                            <a:ext cx="1129349" cy="142666"/>
                          </a:xfrm>
                          <a:prstGeom prst="rect">
                            <a:avLst/>
                          </a:prstGeom>
                          <a:ln>
                            <a:noFill/>
                          </a:ln>
                        </wps:spPr>
                        <wps:txbx>
                          <w:txbxContent>
                            <w:p w:rsidR="002010BA" w:rsidRDefault="002010BA">
                              <w:pPr>
                                <w:spacing w:after="160" w:line="259" w:lineRule="auto"/>
                                <w:ind w:left="0" w:firstLine="0"/>
                                <w:jc w:val="left"/>
                              </w:pPr>
                              <w:r>
                                <w:rPr>
                                  <w:color w:val="595959"/>
                                  <w:sz w:val="18"/>
                                </w:rPr>
                                <w:t>Financial Institutions</w:t>
                              </w:r>
                            </w:p>
                          </w:txbxContent>
                        </wps:txbx>
                        <wps:bodyPr horzOverflow="overflow" vert="horz" lIns="0" tIns="0" rIns="0" bIns="0" rtlCol="0">
                          <a:noAutofit/>
                        </wps:bodyPr>
                      </wps:wsp>
                      <wps:wsp>
                        <wps:cNvPr id="62498" name="Rectangle 62498"/>
                        <wps:cNvSpPr/>
                        <wps:spPr>
                          <a:xfrm>
                            <a:off x="1489583" y="1383906"/>
                            <a:ext cx="644865" cy="142666"/>
                          </a:xfrm>
                          <a:prstGeom prst="rect">
                            <a:avLst/>
                          </a:prstGeom>
                          <a:ln>
                            <a:noFill/>
                          </a:ln>
                        </wps:spPr>
                        <wps:txbx>
                          <w:txbxContent>
                            <w:p w:rsidR="002010BA" w:rsidRDefault="002010BA">
                              <w:pPr>
                                <w:spacing w:after="160" w:line="259" w:lineRule="auto"/>
                                <w:ind w:left="0" w:firstLine="0"/>
                                <w:jc w:val="left"/>
                              </w:pPr>
                              <w:r>
                                <w:rPr>
                                  <w:color w:val="595959"/>
                                  <w:sz w:val="18"/>
                                </w:rPr>
                                <w:t>Real Estate</w:t>
                              </w:r>
                            </w:p>
                          </w:txbxContent>
                        </wps:txbx>
                        <wps:bodyPr horzOverflow="overflow" vert="horz" lIns="0" tIns="0" rIns="0" bIns="0" rtlCol="0">
                          <a:noAutofit/>
                        </wps:bodyPr>
                      </wps:wsp>
                      <wps:wsp>
                        <wps:cNvPr id="62499" name="Rectangle 62499"/>
                        <wps:cNvSpPr/>
                        <wps:spPr>
                          <a:xfrm>
                            <a:off x="738886" y="1189088"/>
                            <a:ext cx="1641501" cy="142666"/>
                          </a:xfrm>
                          <a:prstGeom prst="rect">
                            <a:avLst/>
                          </a:prstGeom>
                          <a:ln>
                            <a:noFill/>
                          </a:ln>
                        </wps:spPr>
                        <wps:txbx>
                          <w:txbxContent>
                            <w:p w:rsidR="002010BA" w:rsidRDefault="002010BA">
                              <w:pPr>
                                <w:spacing w:after="160" w:line="259" w:lineRule="auto"/>
                                <w:ind w:left="0" w:firstLine="0"/>
                                <w:jc w:val="left"/>
                              </w:pPr>
                              <w:r>
                                <w:rPr>
                                  <w:color w:val="595959"/>
                                  <w:sz w:val="18"/>
                                </w:rPr>
                                <w:t>Food, Beverage and Tobacco</w:t>
                              </w:r>
                            </w:p>
                          </w:txbxContent>
                        </wps:txbx>
                        <wps:bodyPr horzOverflow="overflow" vert="horz" lIns="0" tIns="0" rIns="0" bIns="0" rtlCol="0">
                          <a:noAutofit/>
                        </wps:bodyPr>
                      </wps:wsp>
                      <wps:wsp>
                        <wps:cNvPr id="62500" name="Rectangle 62500"/>
                        <wps:cNvSpPr/>
                        <wps:spPr>
                          <a:xfrm>
                            <a:off x="1098804" y="994651"/>
                            <a:ext cx="1163706" cy="142666"/>
                          </a:xfrm>
                          <a:prstGeom prst="rect">
                            <a:avLst/>
                          </a:prstGeom>
                          <a:ln>
                            <a:noFill/>
                          </a:ln>
                        </wps:spPr>
                        <wps:txbx>
                          <w:txbxContent>
                            <w:p w:rsidR="002010BA" w:rsidRDefault="002010BA">
                              <w:pPr>
                                <w:spacing w:after="160" w:line="259" w:lineRule="auto"/>
                                <w:ind w:left="0" w:firstLine="0"/>
                                <w:jc w:val="left"/>
                              </w:pPr>
                              <w:r>
                                <w:rPr>
                                  <w:color w:val="595959"/>
                                  <w:sz w:val="18"/>
                                </w:rPr>
                                <w:t>Public Administration</w:t>
                              </w:r>
                            </w:p>
                          </w:txbxContent>
                        </wps:txbx>
                        <wps:bodyPr horzOverflow="overflow" vert="horz" lIns="0" tIns="0" rIns="0" bIns="0" rtlCol="0">
                          <a:noAutofit/>
                        </wps:bodyPr>
                      </wps:wsp>
                      <wps:wsp>
                        <wps:cNvPr id="62501" name="Rectangle 62501"/>
                        <wps:cNvSpPr/>
                        <wps:spPr>
                          <a:xfrm>
                            <a:off x="1296924" y="800214"/>
                            <a:ext cx="900409" cy="142666"/>
                          </a:xfrm>
                          <a:prstGeom prst="rect">
                            <a:avLst/>
                          </a:prstGeom>
                          <a:ln>
                            <a:noFill/>
                          </a:ln>
                        </wps:spPr>
                        <wps:txbx>
                          <w:txbxContent>
                            <w:p w:rsidR="002010BA" w:rsidRDefault="002010BA">
                              <w:pPr>
                                <w:spacing w:after="160" w:line="259" w:lineRule="auto"/>
                                <w:ind w:left="0" w:firstLine="0"/>
                                <w:jc w:val="left"/>
                              </w:pPr>
                              <w:r>
                                <w:rPr>
                                  <w:color w:val="595959"/>
                                  <w:sz w:val="18"/>
                                </w:rPr>
                                <w:t>Crop Production</w:t>
                              </w:r>
                            </w:p>
                          </w:txbxContent>
                        </wps:txbx>
                        <wps:bodyPr horzOverflow="overflow" vert="horz" lIns="0" tIns="0" rIns="0" bIns="0" rtlCol="0">
                          <a:noAutofit/>
                        </wps:bodyPr>
                      </wps:wsp>
                      <wps:wsp>
                        <wps:cNvPr id="62502" name="Rectangle 62502"/>
                        <wps:cNvSpPr/>
                        <wps:spPr>
                          <a:xfrm>
                            <a:off x="695198" y="376767"/>
                            <a:ext cx="4230385" cy="285333"/>
                          </a:xfrm>
                          <a:prstGeom prst="rect">
                            <a:avLst/>
                          </a:prstGeom>
                          <a:ln>
                            <a:noFill/>
                          </a:ln>
                        </wps:spPr>
                        <wps:txbx>
                          <w:txbxContent>
                            <w:p w:rsidR="002010BA" w:rsidRDefault="002010BA">
                              <w:pPr>
                                <w:spacing w:after="160" w:line="259" w:lineRule="auto"/>
                                <w:ind w:left="0" w:firstLine="0"/>
                                <w:jc w:val="left"/>
                              </w:pPr>
                              <w:r>
                                <w:rPr>
                                  <w:color w:val="595959"/>
                                  <w:sz w:val="36"/>
                                </w:rPr>
                                <w:t>Illustrative Distribution of Forgone VAT</w:t>
                              </w:r>
                            </w:p>
                          </w:txbxContent>
                        </wps:txbx>
                        <wps:bodyPr horzOverflow="overflow" vert="horz" lIns="0" tIns="0" rIns="0" bIns="0" rtlCol="0">
                          <a:noAutofit/>
                        </wps:bodyPr>
                      </wps:wsp>
                      <wps:wsp>
                        <wps:cNvPr id="62503" name="Shape 62503"/>
                        <wps:cNvSpPr/>
                        <wps:spPr>
                          <a:xfrm>
                            <a:off x="0" y="232870"/>
                            <a:ext cx="4572000" cy="2742882"/>
                          </a:xfrm>
                          <a:custGeom>
                            <a:avLst/>
                            <a:gdLst/>
                            <a:ahLst/>
                            <a:cxnLst/>
                            <a:rect l="0" t="0" r="0" b="0"/>
                            <a:pathLst>
                              <a:path w="4572000" h="2742882">
                                <a:moveTo>
                                  <a:pt x="4572000" y="0"/>
                                </a:moveTo>
                                <a:lnTo>
                                  <a:pt x="4572000" y="2742882"/>
                                </a:lnTo>
                                <a:lnTo>
                                  <a:pt x="0" y="2742882"/>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346189" o:spid="_x0000_s1099" style="width:363.45pt;height:236.95pt;mso-position-horizontal-relative:char;mso-position-vertical-relative:line" coordsize="46156,3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xUSQsAAACSAAAOAAAAZHJzL2Uyb0RvYy54bWzsXe1u47gV/V+g72D4fyfilyQak1m0m86g&#10;QNFd7G4fQLHlD8C2BNkzzvTpe0iKlK3ICZVkI4+lGSCWaYoieXh4L++lLj/+9LBZj76lxW6VbW/H&#10;5EMwHqXbaTZbbRe34//+8flv8Xi02yfbWbLOtunt+Hu6G//06a9/+XjIJynNltl6lhYjFLLdTQ75&#10;7Xi53+eTm5vddJlukt2HLE+3+HGeFZtkj6/F4mZWJAeUvlnf0CAIbw5ZMcuLbJrudki9Mz+OP+ny&#10;5/N0uv9lPt+l+9H6doy67fXfQv+9V39vPn1MJosiyZeraVmN5AW12CSrLR7qirpL9snoa7F6VNRm&#10;NS2yXTbff5hmm5tsPl9NU90GtIYEtdZ8KbKvuW7LYnJY5K6b0LW1fnpxsdP/fPu1GK1mt2PGQxLL&#10;8WibbICTfvSoTEMnHfLFBHm/FPnv+a9FmbAw31S7H+bFRn2iRaMH3b3fXfemD/vRFIl4gAgJHY+m&#10;+I0FgQxoaACYLoHSo/umy38+c+eNffCNqp+rziHHYNpV/bV7XX/9vkzyVMOwU31Q9ldIieC2u37D&#10;QEu2i3U6Msm6g3Ru1127yQ4919BXLBDjUUNvCS6jsrNoEElKVF+5FieTvNjtv6TZZqQubscFqqCH&#10;YPLt37u9yWqzqKeut+rvNvu8Wq/NryoFHWcrpq72D/cPejRQoZ6mku6z2Xc0eZkV//sFRJ+vs8Pt&#10;OCuvxor7eLj6dTxa/2uLrlY0sxeFvbi3F8V+/XOmyWiq8/ev+2y+0vWtnlbWCxiaOrwLmEDBjP1T&#10;MF1HAHoPMDmjzXgKEgeglxr7HcCpiVZ1cA/gDJvhdB3hB2dMowgirIGehAUR+N8RnlHv6Bk14+k6&#10;wgvPENOowAT1GM9u6Rn3Dk6Qqmm2dR3hBScXEaORwZPGTJKg1OisyiFCRixJaRgE7ytDZc9Q5SGg&#10;MKhqnQnKkEoqFQkvRCmVMiKYu8HQiMdxoPmdTCygeICacYnkPBJ1NKdfjUakNAurBUElnxl9CGlL&#10;ezV92NpLpTc9uTrIk726TxWqLkfL6vEqbQNd6I9M/7qvqbBQ1qpf19vHuU6bYXLgJvUYreq5RyPx&#10;uHHr7QhKmBTQ0kbTBMum+Toxyh9WDNvZWfVut/++TlVV19vf0jkUPWjlRCuNu2Jx//O6GH1LoJvd&#10;SfVf4Ybn6qzqnjkUR3dX8PiuQP8zKug6XyamLA0/iikfoIssS1KFpnqNVi92WtbGLNSw3AHsdrmG&#10;stxNulrZdu/u32KRqeutVJ2ytZXWoxqkvr2nXolFz2NO6IGrauLHCUFD6P8DJwZOgKFXwQkM5rqc&#10;oO3kRCQo4xDtg5zAhDjICSUhfnA5wR5zgrXjhIwkp+iIgRMDJ65DTjgDa7We4K04AWtcyOWwnhjW&#10;E2p1cxW6k7NTV5x4gY2aG6vmsMYedKcr0J2csb/iREtDfygkocN6YpATVyMnnMOk4kQ7ZwmL4xB7&#10;LIb1xGB3uhbdyXmdKk609DgRQmB6GjgxcOJaOOH2fFWccI5LL/8EZywWai/EYHca7E4//hqbSRHH&#10;NaddmQYHor/XLogYD4ykoNj3GGJbGO6vXNkyphLySLmzw1jE1lFqd1Ie+3v/PGe2ciObesCtbaqh&#10;6li5rfMWTu2yJDTINsY6ve2nKa3Kd9xwm8d+Hj/ZN9/pc0s2eogqKLmv9aO/yiPe7GRvcM3zzzH5&#10;x50aSGhcf/zomn81p2GZ9mJOsjAORG17CQlorPYTdU5KW5E3YKUt6llaHmX05ZtvvoGXZrNNOUlc&#10;zf4WzcGa47JMezEvSQS5WJOVJOBMQsO8AF6airwJL01RHrx0GX355ptv4OUV87LmPNW8bOc9xYsK&#10;ToclMook0TsSKh2WiAg5DC8jvMCki4dm8u5KrK0IeGnq8XIt1hb1PC/LxiPjcdut/mo/j/VY33wD&#10;L6+YlzUHruZlOw/uCS+jmLOwJi8pZTSEU6xzeWkr8gby0hb1LC+PMvrKQd98Ay+vmJc1J7LmZTsv&#10;8gkvRSyprMlLKljEL4KXZUXegpdlUc/zssroyzfffAMvr5iXNUe25mU7T/YJL3F/xOvyMuTcvih2&#10;PObeXY+lZUXegpdlUc/zssp43Harv9rPYz3WN9/AyyvmZc2ZrnnZzpt+wksVziOqyUvGY7zmcQF6&#10;rK3IG/DSFvUsL48y+vLNN9/AyyvmZc2hr3nZzqN/wssgEKF5cbqy+wiGfTCXYPexFQEvX2v3sUU9&#10;y8ujjL72HN98Ay+vl5cSfsXjlx4VL5H2Uj9JTBBopiYuiZQiVPFKOrf7uJq8gcB0ZT3LzOOcvqLQ&#10;N99AzeukJmJUYO/NCTNN0kuJ+SO/UnMakKLaBdS0BnwpIYawFRcftoJxE6ivHqGnTG/HDGxtY3B5&#10;YPKmUYyXMbWPsFIlCQliiq09SmQRDq+FNrke+RBtELs/Jc4dcwK4F3HuNIBub2MV6K5MbwdsgFiH&#10;WGucAzaUDDELu8LVhVjpD67O31/DtaXPn8Y8Ai3O4toxYV2ckP4A6zZY1YDV2r//hmT4hKVatF8m&#10;YV1j+oOr2whQw7XlZgC8f0HgaDyLK2EwopZOxw4krJt++gOs8yTXgG3pTRbYoqxCvJ0jbMczsRum&#10;/QHWuTxqwLZ0e0QhCzncmhcKrBum/QHW+ZhrwLb0M4cqxuhTjO12Knat6Q+wzhlSA7alQwSvwmNN&#10;/ARjuwXWzT+9AVbFOWsyTyC91SpWyiCIMa1f6FTshml/gD1jnjDnH3ivduCgpLF8SsZ2yljuhml/&#10;gHXv751OxTD+tWEsjEqhoE/YnbrVinn/DE/0jH0C6a2AZUwiksATU3G3jHXDtD+MPWNRRJysVsBy&#10;TqWN0n95LgDuhml/gD1jeapO/fEK/MFEqOIaXCxj3TDtD7BnLE/moC1/5SkMEUu4jF1xgYztn+WJ&#10;njFQIL3VVAxU1Wa+88udbmVs/yxP9IxJEemtgI1lSNlTToBO3ewwdpat6c9UfMbyhKVLG2B5QGTA&#10;n5qKu2WsG6a9AVb5xpssT9VWEi/liROKY12ecMd2vI51w7Q/wJ6xPDG3pPcDlnIBa/Glylgcf9e3&#10;qZidsTwhvdVUzLB5rTxL4AK3spnj0JSO3wvGYpOuWqHUZ2KT3AZWwgROTSl1YiGCUNReDo0pp8pb&#10;280ORQSb7RNfFX4N9kST3ApW2CbKgwQpDBWUaE2l2ndKBU6OtKdRv/+2GPPqRq/Y2mBNVLA6K42X&#10;dEWwyqD0wxIYn+pvwFCBc3lh7eiKrK4xvZmDG0yJClVnovFCVb1NqKOhwg1LZBjBx6NmvYqt+F2l&#10;d4ara05vcG2wJCpcnYXGD1chIlouckiEy0gvKypcheDEHovewSTsWtMbWBvsiApWZ5/xgxVHpURK&#10;diq6iihmMFDU6IrQNxwWkI50Jtec3uDaYEZUuDrzjB+uPMZLqcaKiF3DTInaE1wRKSRGrLGuYHWt&#10;6Q2sDUZEBaszznjBGuEkl9goTYTgnWPsdzpBlYScCLUC6oitrjU9gVWoQ3UeL1xVMnDx9tJBcOKA&#10;dGNokpKHxgBQyVYsf1iklOVuYK1Ofu8NrA0GxJAqZrWClcpQlkeRxUFA8crOCVuxYZF3pzLhOPOy&#10;Mb1BtdHKJHC0QxtUQymIOu4BGhOLQvw/BZVTFuAUFcNVGgsGXx6Kf6/XYEPXmN6g6oxM9tgbEbiN&#10;QF5Stdz3wvSJAScM5Vj0BGqOVxMvlj80jnX/HqH5bqd7uLogEIetSlNsZJcPVdZiCJU99/7/cV5b&#10;phmsNk6A/TyOGeef0z7flIKKqDM6PU7xGCILvCaywM0hX0wOi1x39KJI8uVqepfsk+PvuD7kk5Rm&#10;y2w9S4tP/wcAAP//AwBQSwMEFAAGAAgAAAAhAMx+urzeAAAABQEAAA8AAABkcnMvZG93bnJldi54&#10;bWxMj0FrwkAQhe+F/odlCr3VTbRqTbMRkbYnKaiF0tuYHZNgdjZk1yT+e7e91MvA4z3e+yZdDqYW&#10;HbWusqwgHkUgiHOrKy4UfO3fn15AOI+ssbZMCi7kYJnd36WYaNvzlrqdL0QoYZeggtL7JpHS5SUZ&#10;dCPbEAfvaFuDPsi2kLrFPpSbWo6jaCYNVhwWSmxoXVJ+2p2Ngo8e+9Ukfus2p+P68rOffn5vYlLq&#10;8WFYvYLwNPj/MPziB3TIAtPBnlk7USsIj/i/G7z5eLYAcVDwPJ8sQGapvKXPrgAAAP//AwBQSwEC&#10;LQAUAAYACAAAACEAtoM4kv4AAADhAQAAEwAAAAAAAAAAAAAAAAAAAAAAW0NvbnRlbnRfVHlwZXNd&#10;LnhtbFBLAQItABQABgAIAAAAIQA4/SH/1gAAAJQBAAALAAAAAAAAAAAAAAAAAC8BAABfcmVscy8u&#10;cmVsc1BLAQItABQABgAIAAAAIQDOkmxUSQsAAACSAAAOAAAAAAAAAAAAAAAAAC4CAABkcnMvZTJv&#10;RG9jLnhtbFBLAQItABQABgAIAAAAIQDMfrq83gAAAAUBAAAPAAAAAAAAAAAAAAAAAKMNAABkcnMv&#10;ZG93bnJldi54bWxQSwUGAAAAAAQABADzAAAArg4AAAAA&#10;">
                <v:rect id="Rectangle 62154" o:spid="_x0000_s1100" style="position:absolute;left:3;width:454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H7xgAAAN4AAAAPAAAAZHJzL2Rvd25yZXYueG1sRI9Bi8Iw&#10;FITvC/6H8ARva6q4otUooi563FVBvT2aZ1tsXkoTbfXXG2Fhj8PMfMNM540pxJ0ql1tW0OtGIIgT&#10;q3NOFRz2358jEM4jaywsk4IHOZjPWh9TjLWt+ZfuO5+KAGEXo4LM+zKW0iUZGXRdWxIH72Irgz7I&#10;KpW6wjrATSH7UTSUBnMOCxmWtMwoue5uRsFmVC5OW/us02J93hx/juPVfuyV6rSbxQSEp8b/h//a&#10;W61g2O99DeB9J1wBOXsBAAD//wMAUEsBAi0AFAAGAAgAAAAhANvh9svuAAAAhQEAABMAAAAAAAAA&#10;AAAAAAAAAAAAAFtDb250ZW50X1R5cGVzXS54bWxQSwECLQAUAAYACAAAACEAWvQsW78AAAAVAQAA&#10;CwAAAAAAAAAAAAAAAAAfAQAAX3JlbHMvLnJlbHNQSwECLQAUAAYACAAAACEAqgnh+8YAAADeAAAA&#10;DwAAAAAAAAAAAAAAAAAHAgAAZHJzL2Rvd25yZXYueG1sUEsFBgAAAAADAAMAtwAAAPoCAAAAAA==&#10;" filled="f" stroked="f">
                  <v:textbox inset="0,0,0,0">
                    <w:txbxContent>
                      <w:p w:rsidR="002010BA" w:rsidRDefault="002010BA">
                        <w:pPr>
                          <w:spacing w:after="160" w:line="259" w:lineRule="auto"/>
                          <w:ind w:left="0" w:firstLine="0"/>
                          <w:jc w:val="left"/>
                        </w:pPr>
                        <w:r>
                          <w:t>Chart</w:t>
                        </w:r>
                      </w:p>
                    </w:txbxContent>
                  </v:textbox>
                </v:rect>
                <v:rect id="Rectangle 62155" o:spid="_x0000_s1101" style="position:absolute;left: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Rg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GbzufweydcAbn9AQAA//8DAFBLAQItABQABgAIAAAAIQDb4fbL7gAAAIUBAAATAAAAAAAA&#10;AAAAAAAAAAAAAABbQ29udGVudF9UeXBlc10ueG1sUEsBAi0AFAAGAAgAAAAhAFr0LFu/AAAAFQEA&#10;AAsAAAAAAAAAAAAAAAAAHwEAAF9yZWxzLy5yZWxzUEsBAi0AFAAGAAgAAAAhAMVFRGDHAAAA3gAA&#10;AA8AAAAAAAAAAAAAAAAABwIAAGRycy9kb3ducmV2LnhtbFBLBQYAAAAAAwADALcAAAD7AgAAAAA=&#10;" filled="f" stroked="f">
                  <v:textbox inset="0,0,0,0">
                    <w:txbxContent>
                      <w:p w:rsidR="002010BA" w:rsidRDefault="002010BA">
                        <w:pPr>
                          <w:spacing w:after="160" w:line="259" w:lineRule="auto"/>
                          <w:ind w:left="0" w:firstLine="0"/>
                          <w:jc w:val="left"/>
                        </w:pPr>
                        <w:r>
                          <w:t xml:space="preserve"> </w:t>
                        </w:r>
                      </w:p>
                    </w:txbxContent>
                  </v:textbox>
                </v:rect>
                <v:rect id="Rectangle 62156" o:spid="_x0000_s1102" style="position:absolute;left:3827;width:413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9oXxgAAAN4AAAAPAAAAZHJzL2Rvd25yZXYueG1sRI9Pi8Iw&#10;FMTvgt8hPMGbpgoW7RpF1EWP6x9w9/Zo3rbF5qU0WVv99BtB8DjMzG+Y+bI1pbhR7QrLCkbDCARx&#10;anXBmYLz6XMwBeE8ssbSMim4k4PlotuZY6Jtwwe6HX0mAoRdggpy76tESpfmZNANbUUcvF9bG/RB&#10;1pnUNTYBbko5jqJYGiw4LORY0Tqn9Hr8Mwp202r1vbePJiu3P7vL12W2Oc28Uv1eu/oA4an17/Cr&#10;vdcK4vFoEsPzTrgCcvEPAAD//wMAUEsBAi0AFAAGAAgAAAAhANvh9svuAAAAhQEAABMAAAAAAAAA&#10;AAAAAAAAAAAAAFtDb250ZW50X1R5cGVzXS54bWxQSwECLQAUAAYACAAAACEAWvQsW78AAAAVAQAA&#10;CwAAAAAAAAAAAAAAAAAfAQAAX3JlbHMvLnJlbHNQSwECLQAUAAYACAAAACEANZfaF8YAAADeAAAA&#10;DwAAAAAAAAAAAAAAAAAHAgAAZHJzL2Rvd25yZXYueG1sUEsFBgAAAAADAAMAtwAAAPoCAAAAAA==&#10;" filled="f" stroked="f">
                  <v:textbox inset="0,0,0,0">
                    <w:txbxContent>
                      <w:p w:rsidR="002010BA" w:rsidRDefault="002010BA">
                        <w:pPr>
                          <w:spacing w:after="160" w:line="259" w:lineRule="auto"/>
                          <w:ind w:left="0" w:firstLine="0"/>
                          <w:jc w:val="left"/>
                        </w:pPr>
                        <w:r>
                          <w:t>3.1.1</w:t>
                        </w:r>
                      </w:p>
                    </w:txbxContent>
                  </v:textbox>
                </v:rect>
                <v:rect id="Rectangle 62157" o:spid="_x0000_s1103" style="position:absolute;left:69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3+MyAAAAN4AAAAPAAAAZHJzL2Rvd25yZXYueG1sRI9Ba8JA&#10;FITvQv/D8gq96caAVqOrhNYSj60K6u2RfSbB7NuQ3SZpf323UOhxmJlvmPV2MLXoqHWVZQXTSQSC&#10;OLe64kLB6fg2XoBwHlljbZkUfJGD7eZhtMZE254/qDv4QgQIuwQVlN43iZQuL8mgm9iGOHg32xr0&#10;QbaF1C32AW5qGUfRXBqsOCyU2NBLSfn98GkUZIsmveztd1/Uu2t2fj8vX49Lr9TT45CuQHga/H/4&#10;r73XCubxdPYMv3fCFZCbHwAAAP//AwBQSwECLQAUAAYACAAAACEA2+H2y+4AAACFAQAAEwAAAAAA&#10;AAAAAAAAAAAAAAAAW0NvbnRlbnRfVHlwZXNdLnhtbFBLAQItABQABgAIAAAAIQBa9CxbvwAAABUB&#10;AAALAAAAAAAAAAAAAAAAAB8BAABfcmVscy8ucmVsc1BLAQItABQABgAIAAAAIQBa23+MyAAAAN4A&#10;AAAPAAAAAAAAAAAAAAAAAAcCAABkcnMvZG93bnJldi54bWxQSwUGAAAAAAMAAwC3AAAA/AIAAAAA&#10;" filled="f" stroked="f">
                  <v:textbox inset="0,0,0,0">
                    <w:txbxContent>
                      <w:p w:rsidR="002010BA" w:rsidRDefault="002010BA">
                        <w:pPr>
                          <w:spacing w:after="160" w:line="259" w:lineRule="auto"/>
                          <w:ind w:left="0" w:firstLine="0"/>
                          <w:jc w:val="left"/>
                        </w:pPr>
                        <w:r>
                          <w:t xml:space="preserve"> </w:t>
                        </w:r>
                      </w:p>
                    </w:txbxContent>
                  </v:textbox>
                </v:rect>
                <v:rect id="Rectangle 62158" o:spid="_x0000_s1104" style="position:absolute;left:45732;top:2839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v+wwAAAN4AAAAPAAAAZHJzL2Rvd25yZXYueG1sRE/LisIw&#10;FN0P+A/hCrMbU4URrU1F1EGXvkDdXZprW2xuSpOxnfl6sxBcHs47mXemEg9qXGlZwXAQgSDOrC45&#10;V3A6/nxNQDiPrLGyTAr+yME87X0kGGvb8p4eB5+LEMIuRgWF93UspcsKMugGtiYO3M02Bn2ATS51&#10;g20IN5UcRdFYGiw5NBRY07Kg7H74NQo2k3px2dr/Nq/W1815d56ujlOv1Ge/W8xAeOr8W/xyb7WC&#10;8Wj4HfaGO+EKyPQJAAD//wMAUEsBAi0AFAAGAAgAAAAhANvh9svuAAAAhQEAABMAAAAAAAAAAAAA&#10;AAAAAAAAAFtDb250ZW50X1R5cGVzXS54bWxQSwECLQAUAAYACAAAACEAWvQsW78AAAAVAQAACwAA&#10;AAAAAAAAAAAAAAAfAQAAX3JlbHMvLnJlbHNQSwECLQAUAAYACAAAACEAK0Tr/sMAAADeAAAADwAA&#10;AAAAAAAAAAAAAAAHAgAAZHJzL2Rvd25yZXYueG1sUEsFBgAAAAADAAMAtwAAAPcCAAAAAA==&#10;" filled="f" stroked="f">
                  <v:textbox inset="0,0,0,0">
                    <w:txbxContent>
                      <w:p w:rsidR="002010BA" w:rsidRDefault="002010BA">
                        <w:pPr>
                          <w:spacing w:after="160" w:line="259" w:lineRule="auto"/>
                          <w:ind w:left="0" w:firstLine="0"/>
                          <w:jc w:val="left"/>
                        </w:pPr>
                        <w:r>
                          <w:rPr>
                            <w:sz w:val="24"/>
                          </w:rPr>
                          <w:t xml:space="preserve"> </w:t>
                        </w:r>
                      </w:p>
                    </w:txbxContent>
                  </v:textbox>
                </v:rect>
                <v:shape id="Shape 62460" o:spid="_x0000_s1105" style="position:absolute;left:22997;top:7488;width:0;height:19447;visibility:visible;mso-wrap-style:square;v-text-anchor:top" coordsize="0,194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ckxQAAAN4AAAAPAAAAZHJzL2Rvd25yZXYueG1sRI/NasJA&#10;FIX3Bd9huEI3pZlUaihpRpEWpasUo3R9zVyTYOZOyIxJfHtnIXR5OH982XoyrRiod41lBW9RDIK4&#10;tLrhSsHxsH39AOE8ssbWMim4kYP1avaUYartyHsaCl+JMMIuRQW1910qpStrMugi2xEH72x7gz7I&#10;vpK6xzGMm1Yu4jiRBhsODzV29FVTeSmuRsHJF2O+LS9Lzs3v8s/tXr6n01Wp5/m0+QThafL/4Uf7&#10;RytIFu9JAAg4AQXk6g4AAP//AwBQSwECLQAUAAYACAAAACEA2+H2y+4AAACFAQAAEwAAAAAAAAAA&#10;AAAAAAAAAAAAW0NvbnRlbnRfVHlwZXNdLnhtbFBLAQItABQABgAIAAAAIQBa9CxbvwAAABUBAAAL&#10;AAAAAAAAAAAAAAAAAB8BAABfcmVscy8ucmVsc1BLAQItABQABgAIAAAAIQBgDPckxQAAAN4AAAAP&#10;AAAAAAAAAAAAAAAAAAcCAABkcnMvZG93bnJldi54bWxQSwUGAAAAAAMAAwC3AAAA+QIAAAAA&#10;" path="m,l,1944751e" filled="f" strokecolor="#d9d9d9">
                  <v:path arrowok="t" textboxrect="0,0,0,1944751"/>
                </v:shape>
                <v:shape id="Shape 62461" o:spid="_x0000_s1106" style="position:absolute;left:25267;top:7488;width:0;height:19447;visibility:visible;mso-wrap-style:square;v-text-anchor:top" coordsize="0,194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K/xQAAAN4AAAAPAAAAZHJzL2Rvd25yZXYueG1sRI9Bi8Iw&#10;FITvwv6H8Ba8iKaKFqlGWVZcPCnbFc/P5tkWm5fSRNv990YQPA4z8w2zXHemEndqXGlZwXgUgSDO&#10;rC45V3D82w7nIJxH1lhZJgX/5GC9+ugtMdG25V+6pz4XAcIuQQWF93UipcsKMuhGtiYO3sU2Bn2Q&#10;TS51g22Am0pOoiiWBksOCwXW9F1Qdk1vRsHZp+1+m11nvDeH2cn9DDbd+aZU/7P7WoDw1Pl3+NXe&#10;aQXxZBqP4XknXAG5egAAAP//AwBQSwECLQAUAAYACAAAACEA2+H2y+4AAACFAQAAEwAAAAAAAAAA&#10;AAAAAAAAAAAAW0NvbnRlbnRfVHlwZXNdLnhtbFBLAQItABQABgAIAAAAIQBa9CxbvwAAABUBAAAL&#10;AAAAAAAAAAAAAAAAAB8BAABfcmVscy8ucmVsc1BLAQItABQABgAIAAAAIQAPQFK/xQAAAN4AAAAP&#10;AAAAAAAAAAAAAAAAAAcCAABkcnMvZG93bnJldi54bWxQSwUGAAAAAAMAAwC3AAAA+QIAAAAA&#10;" path="m,l,1944751e" filled="f" strokecolor="#d9d9d9">
                  <v:path arrowok="t" textboxrect="0,0,0,1944751"/>
                </v:shape>
                <v:shape id="Shape 62462" o:spid="_x0000_s1107" style="position:absolute;left:27523;top:7488;width:0;height:19447;visibility:visible;mso-wrap-style:square;v-text-anchor:top" coordsize="0,194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IxgAAAN4AAAAPAAAAZHJzL2Rvd25yZXYueG1sRI9Ba8JA&#10;FITvQv/D8gQvopsGDZK6kVKxeLKYlp6f2WcSkn0bsqtJ/323UPA4zMw3zHY3mlbcqXe1ZQXPywgE&#10;cWF1zaWCr8/DYgPCeWSNrWVS8EMOdtnTZIuptgOf6Z77UgQIuxQVVN53qZSuqMigW9qOOHhX2xv0&#10;Qfal1D0OAW5aGUdRIg3WHBYq7OitoqLJb0bBxefD6VA0az6Zj/W3e5/vx8tNqdl0fH0B4Wn0j/B/&#10;+6gVJPEqieHvTrgCMvsFAAD//wMAUEsBAi0AFAAGAAgAAAAhANvh9svuAAAAhQEAABMAAAAAAAAA&#10;AAAAAAAAAAAAAFtDb250ZW50X1R5cGVzXS54bWxQSwECLQAUAAYACAAAACEAWvQsW78AAAAVAQAA&#10;CwAAAAAAAAAAAAAAAAAfAQAAX3JlbHMvLnJlbHNQSwECLQAUAAYACAAAACEA/5LMyMYAAADeAAAA&#10;DwAAAAAAAAAAAAAAAAAHAgAAZHJzL2Rvd25yZXYueG1sUEsFBgAAAAADAAMAtwAAAPoCAAAAAA==&#10;" path="m,l,1944751e" filled="f" strokecolor="#d9d9d9">
                  <v:path arrowok="t" textboxrect="0,0,0,1944751"/>
                </v:shape>
                <v:shape id="Shape 62463" o:spid="_x0000_s1108" style="position:absolute;left:29794;top:7488;width:0;height:19447;visibility:visible;mso-wrap-style:square;v-text-anchor:top" coordsize="0,194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mlTxgAAAN4AAAAPAAAAZHJzL2Rvd25yZXYueG1sRI9Ba8JA&#10;FITvBf/D8gQvRTfaGiS6irQonhSjeH5mn0kw+zZkV5P+e7dQ6HGYmW+YxaozlXhS40rLCsajCARx&#10;ZnXJuYLzaTOcgXAeWWNlmRT8kIPVsve2wETblo/0TH0uAoRdggoK7+tESpcVZNCNbE0cvJttDPog&#10;m1zqBtsAN5WcRFEsDZYcFgqs6aug7J4+jIKrT9v9JrtPeW8O04vbvn9314dSg363noPw1Pn/8F97&#10;pxXEk8/4A37vhCsgly8AAAD//wMAUEsBAi0AFAAGAAgAAAAhANvh9svuAAAAhQEAABMAAAAAAAAA&#10;AAAAAAAAAAAAAFtDb250ZW50X1R5cGVzXS54bWxQSwECLQAUAAYACAAAACEAWvQsW78AAAAVAQAA&#10;CwAAAAAAAAAAAAAAAAAfAQAAX3JlbHMvLnJlbHNQSwECLQAUAAYACAAAACEAkN5pU8YAAADeAAAA&#10;DwAAAAAAAAAAAAAAAAAHAgAAZHJzL2Rvd25yZXYueG1sUEsFBgAAAAADAAMAtwAAAPoCAAAAAA==&#10;" path="m,l,1944751e" filled="f" strokecolor="#d9d9d9">
                  <v:path arrowok="t" textboxrect="0,0,0,1944751"/>
                </v:shape>
                <v:shape id="Shape 62464" o:spid="_x0000_s1109" style="position:absolute;left:32064;top:7488;width:0;height:19447;visibility:visible;mso-wrap-style:square;v-text-anchor:top" coordsize="0,194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nxQAAAN4AAAAPAAAAZHJzL2Rvd25yZXYueG1sRI9Bi8Iw&#10;FITvgv8hPMGLaLqiZalGERdlTy7WxfOzebbF5qU00Xb/vREWPA4z8w2zXHemEg9qXGlZwcckAkGc&#10;WV1yruD3tBt/gnAeWWNlmRT8kYP1qt9bYqJty0d6pD4XAcIuQQWF93UipcsKMugmtiYO3tU2Bn2Q&#10;TS51g22Am0pOoyiWBksOCwXWtC0ou6V3o+Di0/awy25zPpif+dntR1/d5a7UcNBtFiA8df4d/m9/&#10;awXxdBbP4HUnXAG5egIAAP//AwBQSwECLQAUAAYACAAAACEA2+H2y+4AAACFAQAAEwAAAAAAAAAA&#10;AAAAAAAAAAAAW0NvbnRlbnRfVHlwZXNdLnhtbFBLAQItABQABgAIAAAAIQBa9CxbvwAAABUBAAAL&#10;AAAAAAAAAAAAAAAAAB8BAABfcmVscy8ucmVsc1BLAQItABQABgAIAAAAIQAfN/EnxQAAAN4AAAAP&#10;AAAAAAAAAAAAAAAAAAcCAABkcnMvZG93bnJldi54bWxQSwUGAAAAAAMAAwC3AAAA+QIAAAAA&#10;" path="m,l,1944751e" filled="f" strokecolor="#d9d9d9">
                  <v:path arrowok="t" textboxrect="0,0,0,1944751"/>
                </v:shape>
                <v:shape id="Shape 62465" o:spid="_x0000_s1110" style="position:absolute;left:34320;top:7488;width:0;height:19447;visibility:visible;mso-wrap-style:square;v-text-anchor:top" coordsize="0,194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1S8xQAAAN4AAAAPAAAAZHJzL2Rvd25yZXYueG1sRI9Ba8JA&#10;FITvBf/D8oReim6UJkh0FbEoPSmN4vmZfSbB7NuQXU38992C0OMwM98wi1VvavGg1lWWFUzGEQji&#10;3OqKCwWn43Y0A+E8ssbaMil4koPVcvC2wFTbjn/okflCBAi7FBWU3jeplC4vyaAb24Y4eFfbGvRB&#10;toXULXYBbmo5jaJEGqw4LJTY0Kak/JbdjYKLz7r9Nr/FvDeH+Ox2H1/95a7U+7Bfz0F46v1/+NX+&#10;1gqS6WcSw9+dcAXk8hcAAP//AwBQSwECLQAUAAYACAAAACEA2+H2y+4AAACFAQAAEwAAAAAAAAAA&#10;AAAAAAAAAAAAW0NvbnRlbnRfVHlwZXNdLnhtbFBLAQItABQABgAIAAAAIQBa9CxbvwAAABUBAAAL&#10;AAAAAAAAAAAAAAAAAB8BAABfcmVscy8ucmVsc1BLAQItABQABgAIAAAAIQBwe1S8xQAAAN4AAAAP&#10;AAAAAAAAAAAAAAAAAAcCAABkcnMvZG93bnJldi54bWxQSwUGAAAAAAMAAwC3AAAA+QIAAAAA&#10;" path="m,l,1944751e" filled="f" strokecolor="#d9d9d9">
                  <v:path arrowok="t" textboxrect="0,0,0,1944751"/>
                </v:shape>
                <v:shape id="Shape 62466" o:spid="_x0000_s1111" style="position:absolute;left:36591;top:7488;width:0;height:19447;visibility:visible;mso-wrap-style:square;v-text-anchor:top" coordsize="0,194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rLxQAAAN4AAAAPAAAAZHJzL2Rvd25yZXYueG1sRI9Bi8Iw&#10;FITvwv6H8IS9iKaKFqlGWVxcPCl2F8/P5tkWm5fSRNv990YQPA4z8w2zXHemEndqXGlZwXgUgSDO&#10;rC45V/D3ux3OQTiPrLGyTAr+ycF69dFbYqJty0e6pz4XAcIuQQWF93UipcsKMuhGtiYO3sU2Bn2Q&#10;TS51g22Am0pOoiiWBksOCwXWtCkou6Y3o+Ds03a/za4z3pvD7OR+Bt/d+abUZ7/7WoDw1Pl3+NXe&#10;aQXxZBrH8LwTroBcPQAAAP//AwBQSwECLQAUAAYACAAAACEA2+H2y+4AAACFAQAAEwAAAAAAAAAA&#10;AAAAAAAAAAAAW0NvbnRlbnRfVHlwZXNdLnhtbFBLAQItABQABgAIAAAAIQBa9CxbvwAAABUBAAAL&#10;AAAAAAAAAAAAAAAAAB8BAABfcmVscy8ucmVsc1BLAQItABQABgAIAAAAIQCAqcrLxQAAAN4AAAAP&#10;AAAAAAAAAAAAAAAAAAcCAABkcnMvZG93bnJldi54bWxQSwUGAAAAAAMAAwC3AAAA+QIAAAAA&#10;" path="m,l,1944751e" filled="f" strokecolor="#d9d9d9">
                  <v:path arrowok="t" textboxrect="0,0,0,1944751"/>
                </v:shape>
                <v:shape id="Shape 62467" o:spid="_x0000_s1112" style="position:absolute;left:38862;top:7488;width:0;height:19447;visibility:visible;mso-wrap-style:square;v-text-anchor:top" coordsize="0,194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W9QxgAAAN4AAAAPAAAAZHJzL2Rvd25yZXYueG1sRI9Ba8JA&#10;FITvQv/D8gpepG4qNZWYVUrF0pPSVDw/s69JSPZtyK4m/nu3IHgcZuYbJl0PphEX6lxlWcHrNAJB&#10;nFtdcaHg8Lt9WYBwHlljY5kUXMnBevU0SjHRtucfumS+EAHCLkEFpfdtIqXLSzLoprYlDt6f7Qz6&#10;ILtC6g77ADeNnEVRLA1WHBZKbOmzpLzOzkbByWf9bpvXc96Z/fzoviab4XRWavw8fCxBeBr8I3xv&#10;f2sF8ewtfof/O+EKyNUNAAD//wMAUEsBAi0AFAAGAAgAAAAhANvh9svuAAAAhQEAABMAAAAAAAAA&#10;AAAAAAAAAAAAAFtDb250ZW50X1R5cGVzXS54bWxQSwECLQAUAAYACAAAACEAWvQsW78AAAAVAQAA&#10;CwAAAAAAAAAAAAAAAAAfAQAAX3JlbHMvLnJlbHNQSwECLQAUAAYACAAAACEA7+VvUMYAAADeAAAA&#10;DwAAAAAAAAAAAAAAAAAHAgAAZHJzL2Rvd25yZXYueG1sUEsFBgAAAAADAAMAtwAAAPoCAAAAAA==&#10;" path="m,l,1944751e" filled="f" strokecolor="#d9d9d9">
                  <v:path arrowok="t" textboxrect="0,0,0,1944751"/>
                </v:shape>
                <v:shape id="Shape 62468" o:spid="_x0000_s1113" style="position:absolute;left:41117;top:7488;width:0;height:19447;visibility:visible;mso-wrap-style:square;v-text-anchor:top" coordsize="0,194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sixAAAAN4AAAAPAAAAZHJzL2Rvd25yZXYueG1sRE9Na8JA&#10;EL0X/A/LCL2UZlOpoaRZRVqUnlKM0vOYHZNgdjZk1yT+e/cg9Ph439l6Mq0YqHeNZQVvUQyCuLS6&#10;4UrB8bB9/QDhPLLG1jIpuJGD9Wr2lGGq7ch7GgpfiRDCLkUFtfddKqUrazLoItsRB+5se4M+wL6S&#10;uscxhJtWLuI4kQYbDg01dvRVU3kprkbByRdjvi0vS87N7/LP7V6+p9NVqef5tPkE4Wny/+KH+0cr&#10;SBbvSdgb7oQrIFd3AAAA//8DAFBLAQItABQABgAIAAAAIQDb4fbL7gAAAIUBAAATAAAAAAAAAAAA&#10;AAAAAAAAAABbQ29udGVudF9UeXBlc10ueG1sUEsBAi0AFAAGAAgAAAAhAFr0LFu/AAAAFQEAAAsA&#10;AAAAAAAAAAAAAAAAHwEAAF9yZWxzLy5yZWxzUEsBAi0AFAAGAAgAAAAhAJ56+yLEAAAA3gAAAA8A&#10;AAAAAAAAAAAAAAAABwIAAGRycy9kb3ducmV2LnhtbFBLBQYAAAAAAwADALcAAAD4AgAAAAA=&#10;" path="m,l,1944751e" filled="f" strokecolor="#d9d9d9">
                  <v:path arrowok="t" textboxrect="0,0,0,1944751"/>
                </v:shape>
                <v:shape id="Shape 62469" o:spid="_x0000_s1114" style="position:absolute;left:43385;top:7488;width:0;height:19447;visibility:visible;mso-wrap-style:square;v-text-anchor:top" coordsize="0,194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65xgAAAN4AAAAPAAAAZHJzL2Rvd25yZXYueG1sRI9Ba8JA&#10;FITvQv/D8gpepG4qNdSYVUrF0pPSVDw/s69JSPZtyK4m/nu3IHgcZuYbJl0PphEX6lxlWcHrNAJB&#10;nFtdcaHg8Lt9eQfhPLLGxjIpuJKD9epplGKibc8/dMl8IQKEXYIKSu/bREqXl2TQTW1LHLw/2xn0&#10;QXaF1B32AW4aOYuiWBqsOCyU2NJnSXmdnY2Ck8/63Tav57wz+/nRfU02w+ms1Ph5+FiC8DT4R/je&#10;/tYK4tlbvID/O+EKyNUNAAD//wMAUEsBAi0AFAAGAAgAAAAhANvh9svuAAAAhQEAABMAAAAAAAAA&#10;AAAAAAAAAAAAAFtDb250ZW50X1R5cGVzXS54bWxQSwECLQAUAAYACAAAACEAWvQsW78AAAAVAQAA&#10;CwAAAAAAAAAAAAAAAAAfAQAAX3JlbHMvLnJlbHNQSwECLQAUAAYACAAAACEA8TZeucYAAADeAAAA&#10;DwAAAAAAAAAAAAAAAAAHAgAAZHJzL2Rvd25yZXYueG1sUEsFBgAAAAADAAMAtwAAAPoCAAAAAA==&#10;" path="m,l,1944751e" filled="f" strokecolor="#d9d9d9">
                  <v:path arrowok="t" textboxrect="0,0,0,1944751"/>
                </v:shape>
                <v:shape id="Shape 395881" o:spid="_x0000_s1115" style="position:absolute;left:20734;top:25616;width:983;height:685;visibility:visible;mso-wrap-style:square;v-text-anchor:top" coordsize="98298,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94XyAAAAN8AAAAPAAAAZHJzL2Rvd25yZXYueG1sRI9Pa8JA&#10;FMTvhX6H5RW8FN3EoMToKqVF6kXBPwePj+wzic2+Dbtbjd++Wyj0OMzMb5jFqjetuJHzjWUF6SgB&#10;QVxa3XCl4HRcD3MQPiBrbC2Tggd5WC2fnxZYaHvnPd0OoRIRwr5ABXUIXSGlL2sy6Ee2I47exTqD&#10;IUpXSe3wHuGmleMkmUqDDceFGjt6r6n8OnwbBZvsI9ta9/rZXXfYW12l50e+Vmrw0r/NQQTqw3/4&#10;r73RCrLZJM9T+P0Tv4Bc/gAAAP//AwBQSwECLQAUAAYACAAAACEA2+H2y+4AAACFAQAAEwAAAAAA&#10;AAAAAAAAAAAAAAAAW0NvbnRlbnRfVHlwZXNdLnhtbFBLAQItABQABgAIAAAAIQBa9CxbvwAAABUB&#10;AAALAAAAAAAAAAAAAAAAAB8BAABfcmVscy8ucmVsc1BLAQItABQABgAIAAAAIQCxI94XyAAAAN8A&#10;AAAPAAAAAAAAAAAAAAAAAAcCAABkcnMvZG93bnJldi54bWxQSwUGAAAAAAMAAwC3AAAA/AIAAAAA&#10;" path="m,l98298,r,68580l,68580,,e" fillcolor="#4f81bd" stroked="f" strokeweight="0">
                  <v:path arrowok="t" textboxrect="0,0,98298,68580"/>
                </v:shape>
                <v:shape id="Shape 395882" o:spid="_x0000_s1116" style="position:absolute;left:20734;top:23680;width:1028;height:686;visibility:visible;mso-wrap-style:square;v-text-anchor:top" coordsize="10287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YZyAAAAN8AAAAPAAAAZHJzL2Rvd25yZXYueG1sRI9Pa8JA&#10;FMTvQr/D8gq96aaKJY2uokKLF2n9AzW3R/Y1CWbfLtmtJt/eLRR6HGbmN8x82ZlGXKn1tWUFz6ME&#10;BHFhdc2lgtPxbZiC8AFZY2OZFPTkYbl4GMwx0/bGe7oeQikihH2GCqoQXCalLyoy6EfWEUfv27YG&#10;Q5RtKXWLtwg3jRwnyYs0WHNcqNDRpqLicvgxCj76/OsT8d3xzhXrPE/60+RcK/X02K1mIAJ14T/8&#10;195qBZPXaZqO4fdP/AJycQcAAP//AwBQSwECLQAUAAYACAAAACEA2+H2y+4AAACFAQAAEwAAAAAA&#10;AAAAAAAAAAAAAAAAW0NvbnRlbnRfVHlwZXNdLnhtbFBLAQItABQABgAIAAAAIQBa9CxbvwAAABUB&#10;AAALAAAAAAAAAAAAAAAAAB8BAABfcmVscy8ucmVsc1BLAQItABQABgAIAAAAIQBYSmYZyAAAAN8A&#10;AAAPAAAAAAAAAAAAAAAAAAcCAABkcnMvZG93bnJldi54bWxQSwUGAAAAAAMAAwC3AAAA/AIAAAAA&#10;" path="m,l102870,r,68580l,68580,,e" fillcolor="#4f81bd" stroked="f" strokeweight="0">
                  <v:path arrowok="t" textboxrect="0,0,102870,68580"/>
                </v:shape>
                <v:shape id="Shape 395883" o:spid="_x0000_s1117" style="position:absolute;left:20734;top:21729;width:1043;height:686;visibility:visible;mso-wrap-style:square;v-text-anchor:top" coordsize="104394,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ygxwAAAN8AAAAPAAAAZHJzL2Rvd25yZXYueG1sRI9Ba8JA&#10;FITvhf6H5Qm91U0MliS6irVU7KGHqnh+ZF+zqdm3IbvV+O9dodDjMDPfMPPlYFtxpt43jhWk4wQE&#10;ceV0w7WCw/79OQfhA7LG1jEpuJKH5eLxYY6ldhf+ovMu1CJC2JeowITQlVL6ypBFP3YdcfS+XW8x&#10;RNnXUvd4iXDbykmSvEiLDccFgx2tDVWn3a9VINF9bo5FZ4rVx2T985ZWr1nqlXoaDasZiEBD+A//&#10;tbdaQVZM8zyD+5/4BeTiBgAA//8DAFBLAQItABQABgAIAAAAIQDb4fbL7gAAAIUBAAATAAAAAAAA&#10;AAAAAAAAAAAAAABbQ29udGVudF9UeXBlc10ueG1sUEsBAi0AFAAGAAgAAAAhAFr0LFu/AAAAFQEA&#10;AAsAAAAAAAAAAAAAAAAAHwEAAF9yZWxzLy5yZWxzUEsBAi0AFAAGAAgAAAAhAI+g/KDHAAAA3wAA&#10;AA8AAAAAAAAAAAAAAAAABwIAAGRycy9kb3ducmV2LnhtbFBLBQYAAAAAAwADALcAAAD7AgAAAAA=&#10;" path="m,l104394,r,68580l,68580,,e" fillcolor="#4f81bd" stroked="f" strokeweight="0">
                  <v:path arrowok="t" textboxrect="0,0,104394,68580"/>
                </v:shape>
                <v:shape id="Shape 395884" o:spid="_x0000_s1118" style="position:absolute;left:20734;top:19779;width:1577;height:701;visibility:visible;mso-wrap-style:square;v-text-anchor:top" coordsize="157734,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63yQAAAN8AAAAPAAAAZHJzL2Rvd25yZXYueG1sRI9PawIx&#10;FMTvhX6H8ArearZq23U1ighieyjUf6C3R/LcLN28LJuo22/fFAo9DjPzG2Y671wtrtSGyrOCp34G&#10;glh7U3GpYL9bPeYgQkQ2WHsmBd8UYD67v5tiYfyNN3TdxlIkCIcCFdgYm0LKoC05DH3fECfv7FuH&#10;Mcm2lKbFW4K7Wg6y7EU6rDgtWGxoaUl/bS9OwXpkD+PD6kPvX4+4HG4up8+jfleq99AtJiAidfE/&#10;/Nd+MwqG4+c8H8Hvn/QF5OwHAAD//wMAUEsBAi0AFAAGAAgAAAAhANvh9svuAAAAhQEAABMAAAAA&#10;AAAAAAAAAAAAAAAAAFtDb250ZW50X1R5cGVzXS54bWxQSwECLQAUAAYACAAAACEAWvQsW78AAAAV&#10;AQAACwAAAAAAAAAAAAAAAAAfAQAAX3JlbHMvLnJlbHNQSwECLQAUAAYACAAAACEAH4Lut8kAAADf&#10;AAAADwAAAAAAAAAAAAAAAAAHAgAAZHJzL2Rvd25yZXYueG1sUEsFBgAAAAADAAMAtwAAAP0CAAAA&#10;AA==&#10;" path="m,l157734,r,70104l,70104,,e" fillcolor="#4f81bd" stroked="f" strokeweight="0">
                  <v:path arrowok="t" textboxrect="0,0,157734,70104"/>
                </v:shape>
                <v:shape id="Shape 395885" o:spid="_x0000_s1119" style="position:absolute;left:20734;top:17843;width:2232;height:686;visibility:visible;mso-wrap-style:square;v-text-anchor:top" coordsize="223266,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IayAAAAN8AAAAPAAAAZHJzL2Rvd25yZXYueG1sRI9Ba8JA&#10;FITvBf/D8gRvdaMlNY2uUgXBk6WxLfH2yD6TYPZtyK4x/ffdQqHHYWa+YVabwTSip87VlhXMphEI&#10;4sLqmksFH6f9YwLCeWSNjWVS8E0ONuvRwwpTbe/8Tn3mSxEg7FJUUHnfplK6oiKDbmpb4uBdbGfQ&#10;B9mVUnd4D3DTyHkUPUuDNYeFClvaVVRcs5tRkB/PMW+1X2zf7DHP8t3X5bOfKzUZD69LEJ4G/x/+&#10;ax+0gqeXOEli+P0TvoBc/wAAAP//AwBQSwECLQAUAAYACAAAACEA2+H2y+4AAACFAQAAEwAAAAAA&#10;AAAAAAAAAAAAAAAAW0NvbnRlbnRfVHlwZXNdLnhtbFBLAQItABQABgAIAAAAIQBa9CxbvwAAABUB&#10;AAALAAAAAAAAAAAAAAAAAB8BAABfcmVscy8ucmVsc1BLAQItABQABgAIAAAAIQBOBvIayAAAAN8A&#10;AAAPAAAAAAAAAAAAAAAAAAcCAABkcnMvZG93bnJldi54bWxQSwUGAAAAAAMAAwC3AAAA/AIAAAAA&#10;" path="m,l223266,r,68580l,68580,,e" fillcolor="#4f81bd" stroked="f" strokeweight="0">
                  <v:path arrowok="t" textboxrect="0,0,223266,68580"/>
                </v:shape>
                <v:shape id="Shape 395886" o:spid="_x0000_s1120" style="position:absolute;left:20734;top:15892;width:2537;height:686;visibility:visible;mso-wrap-style:square;v-text-anchor:top" coordsize="253746,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Q6xwAAAN8AAAAPAAAAZHJzL2Rvd25yZXYueG1sRI/NisJA&#10;EITvC77D0IK3daKixOgoIrjkIkv8wWuTaZOQTE/IzGp8e2dhYY9FdX3Vtd72phEP6lxlWcFkHIEg&#10;zq2uuFBwOR8+YxDOI2tsLJOCFznYbgYfa0y0fXJGj5MvRICwS1BB6X2bSOnykgy6sW2Jg3e3nUEf&#10;ZFdI3eEzwE0jp1G0kAYrDg0ltrQvKa9PPya8MTfX290d60M+qX12y9Lv11eq1GjY71YgPPX+//gv&#10;nWoFs+U8jhfwuydAQG7eAAAA//8DAFBLAQItABQABgAIAAAAIQDb4fbL7gAAAIUBAAATAAAAAAAA&#10;AAAAAAAAAAAAAABbQ29udGVudF9UeXBlc10ueG1sUEsBAi0AFAAGAAgAAAAhAFr0LFu/AAAAFQEA&#10;AAsAAAAAAAAAAAAAAAAAHwEAAF9yZWxzLy5yZWxzUEsBAi0AFAAGAAgAAAAhAKlsZDrHAAAA3wAA&#10;AA8AAAAAAAAAAAAAAAAABwIAAGRycy9kb3ducmV2LnhtbFBLBQYAAAAAAwADALcAAAD7AgAAAAA=&#10;" path="m,l253746,r,68580l,68580,,e" fillcolor="#4f81bd" stroked="f" strokeweight="0">
                  <v:path arrowok="t" textboxrect="0,0,253746,68580"/>
                </v:shape>
                <v:shape id="Shape 395887" o:spid="_x0000_s1121" style="position:absolute;left:20734;top:13957;width:2644;height:686;visibility:visible;mso-wrap-style:square;v-text-anchor:top" coordsize="264414,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dIygAAAN8AAAAPAAAAZHJzL2Rvd25yZXYueG1sRI9Ba8JA&#10;FITvhf6H5Qleim5Umqapq5SCID1UG7X0+Mg+k9Ds25Bdk/jvu4WCx2FmvmGW68HUoqPWVZYVzKYR&#10;COLc6ooLBcfDZpKAcB5ZY22ZFFzJwXp1f7fEVNueP6nLfCEChF2KCkrvm1RKl5dk0E1tQxy8s20N&#10;+iDbQuoW+wA3tZxHUSwNVhwWSmzoraT8J7sYBV/XPo8PD933Lku2H2Zzik+z/btS49Hw+gLC0+Bv&#10;4f/2VitYPD8myRP8/QlfQK5+AQAA//8DAFBLAQItABQABgAIAAAAIQDb4fbL7gAAAIUBAAATAAAA&#10;AAAAAAAAAAAAAAAAAABbQ29udGVudF9UeXBlc10ueG1sUEsBAi0AFAAGAAgAAAAhAFr0LFu/AAAA&#10;FQEAAAsAAAAAAAAAAAAAAAAAHwEAAF9yZWxzLy5yZWxzUEsBAi0AFAAGAAgAAAAhAEmlF0jKAAAA&#10;3wAAAA8AAAAAAAAAAAAAAAAABwIAAGRycy9kb3ducmV2LnhtbFBLBQYAAAAAAwADALcAAAD+AgAA&#10;AAA=&#10;" path="m,l264414,r,68580l,68580,,e" fillcolor="#4f81bd" stroked="f" strokeweight="0">
                  <v:path arrowok="t" textboxrect="0,0,264414,68580"/>
                </v:shape>
                <v:shape id="Shape 395888" o:spid="_x0000_s1122" style="position:absolute;left:20734;top:12006;width:3482;height:686;visibility:visible;mso-wrap-style:square;v-text-anchor:top" coordsize="348234,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1wwAAAN8AAAAPAAAAZHJzL2Rvd25yZXYueG1sRE/Pa8Iw&#10;FL4P/B/CE3abqYradUYRZaOXIep2fzTPtNi8lCTW7r9fDoMdP77f6+1gW9GTD41jBdNJBoK4crph&#10;o+Dr8v6SgwgRWWPrmBT8UIDtZvS0xkK7B5+oP0cjUgiHAhXUMXaFlKGqyWKYuI44cVfnLcYEvZHa&#10;4yOF21bOsmwpLTacGmrsaF9TdTvfrYJvvyhDPy2XH609rLKL6435PCr1PB52byAiDfFf/OcutYL5&#10;6yLP0+D0J30BufkFAAD//wMAUEsBAi0AFAAGAAgAAAAhANvh9svuAAAAhQEAABMAAAAAAAAAAAAA&#10;AAAAAAAAAFtDb250ZW50X1R5cGVzXS54bWxQSwECLQAUAAYACAAAACEAWvQsW78AAAAVAQAACwAA&#10;AAAAAAAAAAAAAAAfAQAAX3JlbHMvLnJlbHNQSwECLQAUAAYACAAAACEAQ/tJdcMAAADfAAAADwAA&#10;AAAAAAAAAAAAAAAHAgAAZHJzL2Rvd25yZXYueG1sUEsFBgAAAAADAAMAtwAAAPcCAAAAAA==&#10;" path="m,l348234,r,68580l,68580,,e" fillcolor="#4f81bd" stroked="f" strokeweight="0">
                  <v:path arrowok="t" textboxrect="0,0,348234,68580"/>
                </v:shape>
                <v:shape id="Shape 395889" o:spid="_x0000_s1123" style="position:absolute;left:20734;top:10056;width:5311;height:701;visibility:visible;mso-wrap-style:square;v-text-anchor:top" coordsize="531114,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VGyQAAAN8AAAAPAAAAZHJzL2Rvd25yZXYueG1sRI9BSwMx&#10;FITvgv8hPKE3m9TadndtWkqhpYgerB48PjfP3cXNy5Kk27W/3giCx2FmvmGW68G2oicfGscaJmMF&#10;grh0puFKw9vr7jYDESKywdYxafimAOvV9dUSC+PO/EL9MVYiQTgUqKGOsSukDGVNFsPYdcTJ+3Te&#10;YkzSV9J4PCe4beWdUnNpseG0UGNH25rKr+PJasj7+dP7887tF+qjmjxeZl7d+4XWo5th8wAi0hD/&#10;w3/tg9EwzWdZlsPvn/QF5OoHAAD//wMAUEsBAi0AFAAGAAgAAAAhANvh9svuAAAAhQEAABMAAAAA&#10;AAAAAAAAAAAAAAAAAFtDb250ZW50X1R5cGVzXS54bWxQSwECLQAUAAYACAAAACEAWvQsW78AAAAV&#10;AQAACwAAAAAAAAAAAAAAAAAfAQAAX3JlbHMvLnJlbHNQSwECLQAUAAYACAAAACEA5ajVRskAAADf&#10;AAAADwAAAAAAAAAAAAAAAAAHAgAAZHJzL2Rvd25yZXYueG1sUEsFBgAAAAADAAMAtwAAAP0CAAAA&#10;AA==&#10;" path="m,l531114,r,70104l,70104,,e" fillcolor="#4f81bd" stroked="f" strokeweight="0">
                  <v:path arrowok="t" textboxrect="0,0,531114,70104"/>
                </v:shape>
                <v:shape id="Shape 395890" o:spid="_x0000_s1124" style="position:absolute;left:20734;top:8120;width:19956;height:686;visibility:visible;mso-wrap-style:square;v-text-anchor:top" coordsize="1995678,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lp7xgAAAN8AAAAPAAAAZHJzL2Rvd25yZXYueG1sRI/NasJA&#10;FIX3Bd9huIXumolKiomOooIlu9q0C91dMtckNHMnZqZJ+vadRaHLw/nj2+wm04qBetdYVjCPYhDE&#10;pdUNVwo+P07PKxDOI2tsLZOCH3Kw284eNphpO/I7DYWvRBhhl6GC2vsuk9KVNRl0ke2Ig3ezvUEf&#10;ZF9J3eMYxk0rF3H8Ig02HB5q7OhYU/lVfBsFl+uZ+W5fx8Xh7aCrgc95Mh+Venqc9msQnib/H/5r&#10;51rBMk1WaSAIPIEF5PYXAAD//wMAUEsBAi0AFAAGAAgAAAAhANvh9svuAAAAhQEAABMAAAAAAAAA&#10;AAAAAAAAAAAAAFtDb250ZW50X1R5cGVzXS54bWxQSwECLQAUAAYACAAAACEAWvQsW78AAAAVAQAA&#10;CwAAAAAAAAAAAAAAAAAfAQAAX3JlbHMvLnJlbHNQSwECLQAUAAYACAAAACEAHjpae8YAAADfAAAA&#10;DwAAAAAAAAAAAAAAAAAHAgAAZHJzL2Rvd25yZXYueG1sUEsFBgAAAAADAAMAtwAAAPoCAAAAAA==&#10;" path="m,l1995678,r,68580l,68580,,e" fillcolor="#4f81bd" stroked="f" strokeweight="0">
                  <v:path arrowok="t" textboxrect="0,0,1995678,68580"/>
                </v:shape>
                <v:shape id="Shape 62480" o:spid="_x0000_s1125" style="position:absolute;left:20734;top:7488;width:0;height:19447;visibility:visible;mso-wrap-style:square;v-text-anchor:top" coordsize="0,194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BHexAAAAN4AAAAPAAAAZHJzL2Rvd25yZXYueG1sRI/NisIw&#10;FIX3gu8Q7oAb0XRkFOk0FRlRZqVYZdbX5k5bbG5KE219e7MQXB7OH1+y6k0t7tS6yrKCz2kEgji3&#10;uuJCwfm0nSxBOI+ssbZMCh7kYJUOBwnG2nZ8pHvmCxFG2MWooPS+iaV0eUkG3dQ2xMH7t61BH2Rb&#10;SN1iF8ZNLWdRtJAGKw4PJTb0U1J+zW5GwcVn3X6bX+e8N4f5n9uNN/3lptToo19/g/DU+3f41f7V&#10;Chazr2UACDgBBWT6BAAA//8DAFBLAQItABQABgAIAAAAIQDb4fbL7gAAAIUBAAATAAAAAAAAAAAA&#10;AAAAAAAAAABbQ29udGVudF9UeXBlc10ueG1sUEsBAi0AFAAGAAgAAAAhAFr0LFu/AAAAFQEAAAsA&#10;AAAAAAAAAAAAAAAAHwEAAF9yZWxzLy5yZWxzUEsBAi0AFAAGAAgAAAAhANAAEd7EAAAA3gAAAA8A&#10;AAAAAAAAAAAAAAAABwIAAGRycy9kb3ducmV2LnhtbFBLBQYAAAAAAwADALcAAAD4AgAAAAA=&#10;" path="m,1944751l,e" filled="f" strokecolor="#d9d9d9">
                  <v:path arrowok="t" textboxrect="0,0,0,1944751"/>
                </v:shape>
                <v:rect id="Rectangle 345612" o:spid="_x0000_s1126" style="position:absolute;left:20580;top:27864;width:1108;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UUyAAAAN8AAAAPAAAAZHJzL2Rvd25yZXYueG1sRI9Ba8JA&#10;FITvQv/D8gredBNtRdOsIlXRo9WC7e2RfU1Cs29DdjWpv74rCB6HmfmGSRedqcSFGldaVhAPIxDE&#10;mdUl5wo+j5vBFITzyBory6Tgjxws5k+9FBNtW/6gy8HnIkDYJaig8L5OpHRZQQbd0NbEwfuxjUEf&#10;ZJNL3WAb4KaSoyiaSIMlh4UCa3ovKPs9nI2C7bRefu3stc2r9ff2tD/NVseZV6r/3C3fQHjq/CN8&#10;b++0gvHL6yQewe1P+AJy/g8AAP//AwBQSwECLQAUAAYACAAAACEA2+H2y+4AAACFAQAAEwAAAAAA&#10;AAAAAAAAAAAAAAAAW0NvbnRlbnRfVHlwZXNdLnhtbFBLAQItABQABgAIAAAAIQBa9CxbvwAAABUB&#10;AAALAAAAAAAAAAAAAAAAAB8BAABfcmVscy8ucmVsc1BLAQItABQABgAIAAAAIQAQ2/UUyAAAAN8A&#10;AAAPAAAAAAAAAAAAAAAAAAcCAABkcnMvZG93bnJldi54bWxQSwUGAAAAAAMAAwC3AAAA/AIAAAAA&#10;" filled="f" stroked="f">
                  <v:textbox inset="0,0,0,0">
                    <w:txbxContent>
                      <w:p w:rsidR="002010BA" w:rsidRDefault="002010BA">
                        <w:pPr>
                          <w:spacing w:after="160" w:line="259" w:lineRule="auto"/>
                          <w:ind w:left="0" w:firstLine="0"/>
                          <w:jc w:val="left"/>
                        </w:pPr>
                        <w:r>
                          <w:rPr>
                            <w:color w:val="595959"/>
                            <w:sz w:val="18"/>
                          </w:rPr>
                          <w:t>%</w:t>
                        </w:r>
                      </w:p>
                    </w:txbxContent>
                  </v:textbox>
                </v:rect>
                <v:rect id="Rectangle 345611" o:spid="_x0000_s1127" style="position:absolute;left:20062;top:27864;width:693;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WtjyQAAAN8AAAAPAAAAZHJzL2Rvd25yZXYueG1sRI9Ba8JA&#10;FITvhf6H5RW81U2sFU2zilhFj1YLaW+P7GsSmn0bsquJ/vquIPQ4zMw3TLroTS3O1LrKsoJ4GIEg&#10;zq2uuFDwedw8T0E4j6yxtkwKLuRgMX98SDHRtuMPOh98IQKEXYIKSu+bREqXl2TQDW1DHLwf2xr0&#10;QbaF1C12AW5qOYqiiTRYcVgosaFVSfnv4WQUbKfN8mtnr11Rr7+32T6bvR9nXqnBU798A+Gp9//h&#10;e3unFbyMXydxDLc/4QvI+R8AAAD//wMAUEsBAi0AFAAGAAgAAAAhANvh9svuAAAAhQEAABMAAAAA&#10;AAAAAAAAAAAAAAAAAFtDb250ZW50X1R5cGVzXS54bWxQSwECLQAUAAYACAAAACEAWvQsW78AAAAV&#10;AQAACwAAAAAAAAAAAAAAAAAfAQAAX3JlbHMvLnJlbHNQSwECLQAUAAYACAAAACEA4AlrY8kAAADf&#10;AAAADwAAAAAAAAAAAAAAAAAHAgAAZHJzL2Rvd25yZXYueG1sUEsFBgAAAAADAAMAtwAAAP0CAAAA&#10;AA==&#10;" filled="f" stroked="f">
                  <v:textbox inset="0,0,0,0">
                    <w:txbxContent>
                      <w:p w:rsidR="002010BA" w:rsidRDefault="002010BA">
                        <w:pPr>
                          <w:spacing w:after="160" w:line="259" w:lineRule="auto"/>
                          <w:ind w:left="0" w:firstLine="0"/>
                          <w:jc w:val="left"/>
                        </w:pPr>
                        <w:r>
                          <w:rPr>
                            <w:color w:val="595959"/>
                            <w:sz w:val="18"/>
                          </w:rPr>
                          <w:t>0</w:t>
                        </w:r>
                      </w:p>
                    </w:txbxContent>
                  </v:textbox>
                </v:rect>
                <v:rect id="Rectangle 345614" o:spid="_x0000_s1128" style="position:absolute;left:22847;top:27864;width:1108;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j7yQAAAN8AAAAPAAAAZHJzL2Rvd25yZXYueG1sRI9ba8JA&#10;FITfC/6H5Qi+1U3UisasIr2gj97A9u2QPSbB7NmQ3Zq0v75bEHwcZuYbJl11phI3alxpWUE8jEAQ&#10;Z1aXnCs4HT+eZyCcR9ZYWSYFP+Rgtew9pZho2/KebgefiwBhl6CCwvs6kdJlBRl0Q1sTB+9iG4M+&#10;yCaXusE2wE0lR1E0lQZLDgsF1vRaUHY9fBsFm1m9/tza3zav3r825915/nace6UG/W69AOGp84/w&#10;vb3VCsaTl2k8gf8/4QvI5R8AAAD//wMAUEsBAi0AFAAGAAgAAAAhANvh9svuAAAAhQEAABMAAAAA&#10;AAAAAAAAAAAAAAAAAFtDb250ZW50X1R5cGVzXS54bWxQSwECLQAUAAYACAAAACEAWvQsW78AAAAV&#10;AQAACwAAAAAAAAAAAAAAAAAfAQAAX3JlbHMvLnJlbHNQSwECLQAUAAYACAAAACEA8H7I+8kAAADf&#10;AAAADwAAAAAAAAAAAAAAAAAHAgAAZHJzL2Rvd25yZXYueG1sUEsFBgAAAAADAAMAtwAAAP0CAAAA&#10;AA==&#10;" filled="f" stroked="f">
                  <v:textbox inset="0,0,0,0">
                    <w:txbxContent>
                      <w:p w:rsidR="002010BA" w:rsidRDefault="002010BA">
                        <w:pPr>
                          <w:spacing w:after="160" w:line="259" w:lineRule="auto"/>
                          <w:ind w:left="0" w:firstLine="0"/>
                          <w:jc w:val="left"/>
                        </w:pPr>
                        <w:r>
                          <w:rPr>
                            <w:color w:val="595959"/>
                            <w:sz w:val="18"/>
                          </w:rPr>
                          <w:t>%</w:t>
                        </w:r>
                      </w:p>
                    </w:txbxContent>
                  </v:textbox>
                </v:rect>
                <v:rect id="Rectangle 345613" o:spid="_x0000_s1129" style="position:absolute;left:22329;top:27864;width:693;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CPyQAAAN8AAAAPAAAAZHJzL2Rvd25yZXYueG1sRI9Ba8JA&#10;FITvQv/D8gq96SbViqZZRVpFjxoF9fbIviah2bchuzWxv75bKPQ4zMw3TLrsTS1u1LrKsoJ4FIEg&#10;zq2uuFBwOm6GMxDOI2usLZOCOzlYLh4GKSbadnygW+YLESDsElRQet8kUrq8JINuZBvi4H3Y1qAP&#10;si2kbrELcFPL5yiaSoMVh4USG3orKf/MvoyC7axZXXb2uyvq9XV73p/n78e5V+rpsV+9gvDU+//w&#10;X3unFYwnL9N4DL9/wheQix8AAAD//wMAUEsBAi0AFAAGAAgAAAAhANvh9svuAAAAhQEAABMAAAAA&#10;AAAAAAAAAAAAAAAAAFtDb250ZW50X1R5cGVzXS54bWxQSwECLQAUAAYACAAAACEAWvQsW78AAAAV&#10;AQAACwAAAAAAAAAAAAAAAAAfAQAAX3JlbHMvLnJlbHNQSwECLQAUAAYACAAAACEAf5dQj8kAAADf&#10;AAAADwAAAAAAAAAAAAAAAAAHAgAAZHJzL2Rvd25yZXYueG1sUEsFBgAAAAADAAMAtwAAAP0CAAAA&#10;AA==&#10;" filled="f" stroked="f">
                  <v:textbox inset="0,0,0,0">
                    <w:txbxContent>
                      <w:p w:rsidR="002010BA" w:rsidRDefault="002010BA">
                        <w:pPr>
                          <w:spacing w:after="160" w:line="259" w:lineRule="auto"/>
                          <w:ind w:left="0" w:firstLine="0"/>
                          <w:jc w:val="left"/>
                        </w:pPr>
                        <w:r>
                          <w:rPr>
                            <w:color w:val="595959"/>
                            <w:sz w:val="18"/>
                          </w:rPr>
                          <w:t>5</w:t>
                        </w:r>
                      </w:p>
                    </w:txbxContent>
                  </v:textbox>
                </v:rect>
                <v:rect id="Rectangle 345615" o:spid="_x0000_s1130" style="position:absolute;left:24331;top:27864;width:1383;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1gyAAAAN8AAAAPAAAAZHJzL2Rvd25yZXYueG1sRI9Pa8JA&#10;FMTvQr/D8gredJNaRdOsIv2DHq0W1Nsj+5qEZt+G7NZEP70rCB6HmfkNky46U4kTNa60rCAeRiCI&#10;M6tLzhX87L4GUxDOI2usLJOCMzlYzJ96KSbatvxNp63PRYCwS1BB4X2dSOmyggy6oa2Jg/drG4M+&#10;yCaXusE2wE0lX6JoIg2WHBYKrOm9oOxv+28UrKb18rC2lzavPo+r/WY/+9jNvFL95275BsJT5x/h&#10;e3utFYxex5N4DLc/4QvI+RUAAP//AwBQSwECLQAUAAYACAAAACEA2+H2y+4AAACFAQAAEwAAAAAA&#10;AAAAAAAAAAAAAAAAW0NvbnRlbnRfVHlwZXNdLnhtbFBLAQItABQABgAIAAAAIQBa9CxbvwAAABUB&#10;AAALAAAAAAAAAAAAAAAAAB8BAABfcmVscy8ucmVsc1BLAQItABQABgAIAAAAIQCfMm1gyAAAAN8A&#10;AAAPAAAAAAAAAAAAAAAAAAcCAABkcnMvZG93bnJldi54bWxQSwUGAAAAAAMAAwC3AAAA/AIAAAAA&#10;" filled="f" stroked="f">
                  <v:textbox inset="0,0,0,0">
                    <w:txbxContent>
                      <w:p w:rsidR="002010BA" w:rsidRDefault="002010BA">
                        <w:pPr>
                          <w:spacing w:after="160" w:line="259" w:lineRule="auto"/>
                          <w:ind w:left="0" w:firstLine="0"/>
                          <w:jc w:val="left"/>
                        </w:pPr>
                        <w:r>
                          <w:rPr>
                            <w:color w:val="595959"/>
                            <w:sz w:val="18"/>
                          </w:rPr>
                          <w:t>10</w:t>
                        </w:r>
                      </w:p>
                    </w:txbxContent>
                  </v:textbox>
                </v:rect>
                <v:rect id="Rectangle 345616" o:spid="_x0000_s1131" style="position:absolute;left:25368;top:27864;width:1108;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MXyQAAAN8AAAAPAAAAZHJzL2Rvd25yZXYueG1sRI9Ba8JA&#10;FITvQv/D8gq96cZqg8asIrVFj60K0dsj+5qEZt+G7NZEf31XKPQ4zMw3TLrqTS0u1LrKsoLxKAJB&#10;nFtdcaHgeHgfzkA4j6yxtkwKruRgtXwYpJho2/EnXfa+EAHCLkEFpfdNIqXLSzLoRrYhDt6XbQ36&#10;INtC6ha7ADe1fI6iWBqsOCyU2NBrSfn3/sco2M6a9Wlnb11Rv5232Uc23xzmXqmnx369AOGp9//h&#10;v/ZOK5hMX+JxDPc/4QvI5S8AAAD//wMAUEsBAi0AFAAGAAgAAAAhANvh9svuAAAAhQEAABMAAAAA&#10;AAAAAAAAAAAAAAAAAFtDb250ZW50X1R5cGVzXS54bWxQSwECLQAUAAYACAAAACEAWvQsW78AAAAV&#10;AQAACwAAAAAAAAAAAAAAAAAfAQAAX3JlbHMvLnJlbHNQSwECLQAUAAYACAAAACEAb+DzF8kAAADf&#10;AAAADwAAAAAAAAAAAAAAAAAHAgAAZHJzL2Rvd25yZXYueG1sUEsFBgAAAAADAAMAtwAAAP0CAAAA&#10;AA==&#10;" filled="f" stroked="f">
                  <v:textbox inset="0,0,0,0">
                    <w:txbxContent>
                      <w:p w:rsidR="002010BA" w:rsidRDefault="002010BA">
                        <w:pPr>
                          <w:spacing w:after="160" w:line="259" w:lineRule="auto"/>
                          <w:ind w:left="0" w:firstLine="0"/>
                          <w:jc w:val="left"/>
                        </w:pPr>
                        <w:r>
                          <w:rPr>
                            <w:color w:val="595959"/>
                            <w:sz w:val="18"/>
                          </w:rPr>
                          <w:t>%</w:t>
                        </w:r>
                      </w:p>
                    </w:txbxContent>
                  </v:textbox>
                </v:rect>
                <v:rect id="Rectangle 345618" o:spid="_x0000_s1132" style="position:absolute;left:27636;top:27864;width:1108;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L+xAAAAN8AAAAPAAAAZHJzL2Rvd25yZXYueG1sRE/LisIw&#10;FN0P+A/hCu7G1HEUrUaRcQZd+gJ1d2mubbG5KU20Hb/eLASXh/OezhtTiDtVLresoNeNQBAnVuec&#10;Kjjs/z5HIJxH1lhYJgX/5GA+a31MMda25i3ddz4VIYRdjAoy78tYSpdkZNB1bUkcuIutDPoAq1Tq&#10;CusQbgr5FUVDaTDn0JBhST8ZJdfdzShYjcrFaW0fdVr8nlfHzXG83I+9Up12s5iA8NT4t/jlXmsF&#10;/e/BsBcGhz/hC8jZEwAA//8DAFBLAQItABQABgAIAAAAIQDb4fbL7gAAAIUBAAATAAAAAAAAAAAA&#10;AAAAAAAAAABbQ29udGVudF9UeXBlc10ueG1sUEsBAi0AFAAGAAgAAAAhAFr0LFu/AAAAFQEAAAsA&#10;AAAAAAAAAAAAAAAAHwEAAF9yZWxzLy5yZWxzUEsBAi0AFAAGAAgAAAAhAHEzwv7EAAAA3wAAAA8A&#10;AAAAAAAAAAAAAAAABwIAAGRycy9kb3ducmV2LnhtbFBLBQYAAAAAAwADALcAAAD4AgAAAAA=&#10;" filled="f" stroked="f">
                  <v:textbox inset="0,0,0,0">
                    <w:txbxContent>
                      <w:p w:rsidR="002010BA" w:rsidRDefault="002010BA">
                        <w:pPr>
                          <w:spacing w:after="160" w:line="259" w:lineRule="auto"/>
                          <w:ind w:left="0" w:firstLine="0"/>
                          <w:jc w:val="left"/>
                        </w:pPr>
                        <w:r>
                          <w:rPr>
                            <w:color w:val="595959"/>
                            <w:sz w:val="18"/>
                          </w:rPr>
                          <w:t>%</w:t>
                        </w:r>
                      </w:p>
                    </w:txbxContent>
                  </v:textbox>
                </v:rect>
                <v:rect id="Rectangle 345617" o:spid="_x0000_s1133" style="position:absolute;left:26600;top:27864;width:138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aMyAAAAN8AAAAPAAAAZHJzL2Rvd25yZXYueG1sRI9ba8JA&#10;FITfhf6H5RR8042t19RVpFb00Ruob4fsaRKaPRuyW5P6692C4OMwM98w03ljCnGlyuWWFfS6EQji&#10;xOqcUwXHw6ozBuE8ssbCMin4Iwfz2UtrirG2Ne/ouvepCBB2MSrIvC9jKV2SkUHXtSVx8L5tZdAH&#10;WaVSV1gHuCnkWxQNpcGcw0KGJX1mlPzsf42C9bhcnDf2VqfF12V92p4my8PEK9V+bRYfIDw1/hl+&#10;tDdawXt/MOyN4P9P+AJydgcAAP//AwBQSwECLQAUAAYACAAAACEA2+H2y+4AAACFAQAAEwAAAAAA&#10;AAAAAAAAAAAAAAAAW0NvbnRlbnRfVHlwZXNdLnhtbFBLAQItABQABgAIAAAAIQBa9CxbvwAAABUB&#10;AAALAAAAAAAAAAAAAAAAAB8BAABfcmVscy8ucmVsc1BLAQItABQABgAIAAAAIQAArFaMyAAAAN8A&#10;AAAPAAAAAAAAAAAAAAAAAAcCAABkcnMvZG93bnJldi54bWxQSwUGAAAAAAMAAwC3AAAA/AIAAAAA&#10;" filled="f" stroked="f">
                  <v:textbox inset="0,0,0,0">
                    <w:txbxContent>
                      <w:p w:rsidR="002010BA" w:rsidRDefault="002010BA">
                        <w:pPr>
                          <w:spacing w:after="160" w:line="259" w:lineRule="auto"/>
                          <w:ind w:left="0" w:firstLine="0"/>
                          <w:jc w:val="left"/>
                        </w:pPr>
                        <w:r>
                          <w:rPr>
                            <w:color w:val="595959"/>
                            <w:sz w:val="18"/>
                          </w:rPr>
                          <w:t>15</w:t>
                        </w:r>
                      </w:p>
                    </w:txbxContent>
                  </v:textbox>
                </v:rect>
                <v:rect id="Rectangle 345619" o:spid="_x0000_s1134" style="position:absolute;left:28864;top:27864;width:138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2dlyQAAAN8AAAAPAAAAZHJzL2Rvd25yZXYueG1sRI9Ba8JA&#10;FITvQv/D8gq96UZtxUQ3QbRFj1YF9fbIviah2bchuzVpf323IPQ4zMw3zDLrTS1u1LrKsoLxKAJB&#10;nFtdcaHgdHwbzkE4j6yxtkwKvslBlj4Mlpho2/E73Q6+EAHCLkEFpfdNIqXLSzLoRrYhDt6HbQ36&#10;INtC6ha7ADe1nETRTBqsOCyU2NC6pPzz8GUUbOfN6rKzP11Rv1635/053hxjr9TTY79agPDU+//w&#10;vb3TCqbPL7NxDH9/wheQ6S8AAAD//wMAUEsBAi0AFAAGAAgAAAAhANvh9svuAAAAhQEAABMAAAAA&#10;AAAAAAAAAAAAAAAAAFtDb250ZW50X1R5cGVzXS54bWxQSwECLQAUAAYACAAAACEAWvQsW78AAAAV&#10;AQAACwAAAAAAAAAAAAAAAAAfAQAAX3JlbHMvLnJlbHNQSwECLQAUAAYACAAAACEAHn9nZckAAADf&#10;AAAADwAAAAAAAAAAAAAAAAAHAgAAZHJzL2Rvd25yZXYueG1sUEsFBgAAAAADAAMAtwAAAP0CAAAA&#10;AA==&#10;" filled="f" stroked="f">
                  <v:textbox inset="0,0,0,0">
                    <w:txbxContent>
                      <w:p w:rsidR="002010BA" w:rsidRDefault="002010BA">
                        <w:pPr>
                          <w:spacing w:after="160" w:line="259" w:lineRule="auto"/>
                          <w:ind w:left="0" w:firstLine="0"/>
                          <w:jc w:val="left"/>
                        </w:pPr>
                        <w:r>
                          <w:rPr>
                            <w:color w:val="595959"/>
                            <w:sz w:val="18"/>
                          </w:rPr>
                          <w:t>20</w:t>
                        </w:r>
                      </w:p>
                    </w:txbxContent>
                  </v:textbox>
                </v:rect>
                <v:rect id="Rectangle 345620" o:spid="_x0000_s1135" style="position:absolute;left:29900;top:27864;width:1109;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RFxwAAAN8AAAAPAAAAZHJzL2Rvd25yZXYueG1sRI/LasJA&#10;FIb3Bd9hOEJ3dWLaikbHEHpBl95A3R0yxyQ0cyZkpknap+8sCi5//hvfKh1MLTpqXWVZwXQSgSDO&#10;ra64UHA6fj7NQTiPrLG2TAp+yEG6Hj2sMNG25z11B1+IMMIuQQWl900ipctLMugmtiEO3s22Bn2Q&#10;bSF1i30YN7WMo2gmDVYcHkps6K2k/OvwbRRs5k122drfvqg/rpvz7rx4Py68Uo/jIVuC8DT4e/i/&#10;vdUKnl9eZ3EgCDyBBeT6DwAA//8DAFBLAQItABQABgAIAAAAIQDb4fbL7gAAAIUBAAATAAAAAAAA&#10;AAAAAAAAAAAAAABbQ29udGVudF9UeXBlc10ueG1sUEsBAi0AFAAGAAgAAAAhAFr0LFu/AAAAFQEA&#10;AAsAAAAAAAAAAAAAAAAAHwEAAF9yZWxzLy5yZWxzUEsBAi0AFAAGAAgAAAAhAEEpBEXHAAAA3wAA&#10;AA8AAAAAAAAAAAAAAAAABwIAAGRycy9kb3ducmV2LnhtbFBLBQYAAAAAAwADALcAAAD7AgAAAAA=&#10;" filled="f" stroked="f">
                  <v:textbox inset="0,0,0,0">
                    <w:txbxContent>
                      <w:p w:rsidR="002010BA" w:rsidRDefault="002010BA">
                        <w:pPr>
                          <w:spacing w:after="160" w:line="259" w:lineRule="auto"/>
                          <w:ind w:left="0" w:firstLine="0"/>
                          <w:jc w:val="left"/>
                        </w:pPr>
                        <w:r>
                          <w:rPr>
                            <w:color w:val="595959"/>
                            <w:sz w:val="18"/>
                          </w:rPr>
                          <w:t>%</w:t>
                        </w:r>
                      </w:p>
                    </w:txbxContent>
                  </v:textbox>
                </v:rect>
                <v:rect id="Rectangle 345621" o:spid="_x0000_s1136" style="position:absolute;left:31128;top:27864;width:1383;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HeyAAAAN8AAAAPAAAAZHJzL2Rvd25yZXYueG1sRI9Ba8JA&#10;FITvQv/D8gredBNtRdOsIlXRo9WC7e2RfU1Cs29DdjWpv74rCB6HmfmGSRedqcSFGldaVhAPIxDE&#10;mdUl5wo+j5vBFITzyBory6Tgjxws5k+9FBNtW/6gy8HnIkDYJaig8L5OpHRZQQbd0NbEwfuxjUEf&#10;ZJNL3WAb4KaSoyiaSIMlh4UCa3ovKPs9nI2C7bRefu3stc2r9ff2tD/NVseZV6r/3C3fQHjq/CN8&#10;b++0gvHL62QUw+1P+AJy/g8AAP//AwBQSwECLQAUAAYACAAAACEA2+H2y+4AAACFAQAAEwAAAAAA&#10;AAAAAAAAAAAAAAAAW0NvbnRlbnRfVHlwZXNdLnhtbFBLAQItABQABgAIAAAAIQBa9CxbvwAAABUB&#10;AAALAAAAAAAAAAAAAAAAAB8BAABfcmVscy8ucmVsc1BLAQItABQABgAIAAAAIQAuZaHeyAAAAN8A&#10;AAAPAAAAAAAAAAAAAAAAAAcCAABkcnMvZG93bnJldi54bWxQSwUGAAAAAAMAAwC3AAAA/AIAAAAA&#10;" filled="f" stroked="f">
                  <v:textbox inset="0,0,0,0">
                    <w:txbxContent>
                      <w:p w:rsidR="002010BA" w:rsidRDefault="002010BA">
                        <w:pPr>
                          <w:spacing w:after="160" w:line="259" w:lineRule="auto"/>
                          <w:ind w:left="0" w:firstLine="0"/>
                          <w:jc w:val="left"/>
                        </w:pPr>
                        <w:r>
                          <w:rPr>
                            <w:color w:val="595959"/>
                            <w:sz w:val="18"/>
                          </w:rPr>
                          <w:t>25</w:t>
                        </w:r>
                      </w:p>
                    </w:txbxContent>
                  </v:textbox>
                </v:rect>
                <v:rect id="Rectangle 345622" o:spid="_x0000_s1137" style="position:absolute;left:32165;top:27864;width:1108;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pyAAAAN8AAAAPAAAAZHJzL2Rvd25yZXYueG1sRI9Pa8JA&#10;FMTvhX6H5RW81U3jHzS6itQWPVoV1Nsj+5qEZt+G7Gqin94VhB6HmfkNM523phQXql1hWcFHNwJB&#10;nFpdcKZgv/t+H4FwHlljaZkUXMnBfPb6MsVE24Z/6LL1mQgQdgkqyL2vEildmpNB17UVcfB+bW3Q&#10;B1lnUtfYBLgpZRxFQ2mw4LCQY0WfOaV/27NRsBpVi+Pa3pqs/DqtDpvDeLkbe6U6b+1iAsJT6//D&#10;z/ZaK+j1B8M4hsef8AXk7A4AAP//AwBQSwECLQAUAAYACAAAACEA2+H2y+4AAACFAQAAEwAAAAAA&#10;AAAAAAAAAAAAAAAAW0NvbnRlbnRfVHlwZXNdLnhtbFBLAQItABQABgAIAAAAIQBa9CxbvwAAABUB&#10;AAALAAAAAAAAAAAAAAAAAB8BAABfcmVscy8ucmVsc1BLAQItABQABgAIAAAAIQDetz+pyAAAAN8A&#10;AAAPAAAAAAAAAAAAAAAAAAcCAABkcnMvZG93bnJldi54bWxQSwUGAAAAAAMAAwC3AAAA/AIAAAAA&#10;" filled="f" stroked="f">
                  <v:textbox inset="0,0,0,0">
                    <w:txbxContent>
                      <w:p w:rsidR="002010BA" w:rsidRDefault="002010BA">
                        <w:pPr>
                          <w:spacing w:after="160" w:line="259" w:lineRule="auto"/>
                          <w:ind w:left="0" w:firstLine="0"/>
                          <w:jc w:val="left"/>
                        </w:pPr>
                        <w:r>
                          <w:rPr>
                            <w:color w:val="595959"/>
                            <w:sz w:val="18"/>
                          </w:rPr>
                          <w:t>%</w:t>
                        </w:r>
                      </w:p>
                    </w:txbxContent>
                  </v:textbox>
                </v:rect>
                <v:rect id="Rectangle 345623" o:spid="_x0000_s1138" style="position:absolute;left:33393;top:27864;width:138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yyQAAAN8AAAAPAAAAZHJzL2Rvd25yZXYueG1sRI9Ba8JA&#10;FITvBf/D8gq91U21isZsRLRFjzYWbG+P7DMJZt+G7Nak/fVuQfA4zMw3TLLsTS0u1LrKsoKXYQSC&#10;OLe64kLB5+H9eQbCeWSNtWVS8EsOlungIcFY244/6JL5QgQIuxgVlN43sZQuL8mgG9qGOHgn2xr0&#10;QbaF1C12AW5qOYqiqTRYcVgosaF1Sfk5+zEKtrNm9bWzf11Rv31vj/vjfHOYe6WeHvvVAoSn3t/D&#10;t/ZOKxi/TqajMfz/CV9AplcAAAD//wMAUEsBAi0AFAAGAAgAAAAhANvh9svuAAAAhQEAABMAAAAA&#10;AAAAAAAAAAAAAAAAAFtDb250ZW50X1R5cGVzXS54bWxQSwECLQAUAAYACAAAACEAWvQsW78AAAAV&#10;AQAACwAAAAAAAAAAAAAAAAAfAQAAX3JlbHMvLnJlbHNQSwECLQAUAAYACAAAACEAsfuaMskAAADf&#10;AAAADwAAAAAAAAAAAAAAAAAHAgAAZHJzL2Rvd25yZXYueG1sUEsFBgAAAAADAAMAtwAAAP0CAAAA&#10;AA==&#10;" filled="f" stroked="f">
                  <v:textbox inset="0,0,0,0">
                    <w:txbxContent>
                      <w:p w:rsidR="002010BA" w:rsidRDefault="002010BA">
                        <w:pPr>
                          <w:spacing w:after="160" w:line="259" w:lineRule="auto"/>
                          <w:ind w:left="0" w:firstLine="0"/>
                          <w:jc w:val="left"/>
                        </w:pPr>
                        <w:r>
                          <w:rPr>
                            <w:color w:val="595959"/>
                            <w:sz w:val="18"/>
                          </w:rPr>
                          <w:t>30</w:t>
                        </w:r>
                      </w:p>
                    </w:txbxContent>
                  </v:textbox>
                </v:rect>
                <v:rect id="Rectangle 345624" o:spid="_x0000_s1139" style="position:absolute;left:34429;top:27864;width:1108;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JGyAAAAN8AAAAPAAAAZHJzL2Rvd25yZXYueG1sRI9Ba8JA&#10;FITvQv/D8oTedKNV0dRVRCt6tLGg3h7Z1yQ0+zZktyb6612h0OMwM98w82VrSnGl2hWWFQz6EQji&#10;1OqCMwVfx21vCsJ5ZI2lZVJwIwfLxUtnjrG2DX/SNfGZCBB2MSrIva9iKV2ak0HXtxVx8L5tbdAH&#10;WWdS19gEuCnlMIom0mDBYSHHitY5pT/Jr1Gwm1ar897em6z8uOxOh9Nsc5x5pV677eodhKfW/4f/&#10;2nut4G00ngxH8PwTvoBcPAAAAP//AwBQSwECLQAUAAYACAAAACEA2+H2y+4AAACFAQAAEwAAAAAA&#10;AAAAAAAAAAAAAAAAW0NvbnRlbnRfVHlwZXNdLnhtbFBLAQItABQABgAIAAAAIQBa9CxbvwAAABUB&#10;AAALAAAAAAAAAAAAAAAAAB8BAABfcmVscy8ucmVsc1BLAQItABQABgAIAAAAIQA+EgJGyAAAAN8A&#10;AAAPAAAAAAAAAAAAAAAAAAcCAABkcnMvZG93bnJldi54bWxQSwUGAAAAAAMAAwC3AAAA/AIAAAAA&#10;" filled="f" stroked="f">
                  <v:textbox inset="0,0,0,0">
                    <w:txbxContent>
                      <w:p w:rsidR="002010BA" w:rsidRDefault="002010BA">
                        <w:pPr>
                          <w:spacing w:after="160" w:line="259" w:lineRule="auto"/>
                          <w:ind w:left="0" w:firstLine="0"/>
                          <w:jc w:val="left"/>
                        </w:pPr>
                        <w:r>
                          <w:rPr>
                            <w:color w:val="595959"/>
                            <w:sz w:val="18"/>
                          </w:rPr>
                          <w:t>%</w:t>
                        </w:r>
                      </w:p>
                    </w:txbxContent>
                  </v:textbox>
                </v:rect>
                <v:rect id="Rectangle 345625" o:spid="_x0000_s1140" style="position:absolute;left:35661;top:27864;width:138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qfdyAAAAN8AAAAPAAAAZHJzL2Rvd25yZXYueG1sRI9Ba8JA&#10;FITvBf/D8gq91U2tikZXEa3oUaNge3tkn0kw+zZktyb213cFweMwM98w03lrSnGl2hWWFXx0IxDE&#10;qdUFZwqOh/X7CITzyBpLy6TgRg7ms87LFGNtG97TNfGZCBB2MSrIva9iKV2ak0HXtRVx8M62NuiD&#10;rDOpa2wC3JSyF0VDabDgsJBjRcuc0kvyaxRsRtXie2v/mqz8+tmcdqfx6jD2Sr29tosJCE+tf4Yf&#10;7a1W8NkfDHsDuP8JX0DO/gEAAP//AwBQSwECLQAUAAYACAAAACEA2+H2y+4AAACFAQAAEwAAAAAA&#10;AAAAAAAAAAAAAAAAW0NvbnRlbnRfVHlwZXNdLnhtbFBLAQItABQABgAIAAAAIQBa9CxbvwAAABUB&#10;AAALAAAAAAAAAAAAAAAAAB8BAABfcmVscy8ucmVsc1BLAQItABQABgAIAAAAIQBRXqfdyAAAAN8A&#10;AAAPAAAAAAAAAAAAAAAAAAcCAABkcnMvZG93bnJldi54bWxQSwUGAAAAAAMAAwC3AAAA/AIAAAAA&#10;" filled="f" stroked="f">
                  <v:textbox inset="0,0,0,0">
                    <w:txbxContent>
                      <w:p w:rsidR="002010BA" w:rsidRDefault="002010BA">
                        <w:pPr>
                          <w:spacing w:after="160" w:line="259" w:lineRule="auto"/>
                          <w:ind w:left="0" w:firstLine="0"/>
                          <w:jc w:val="left"/>
                        </w:pPr>
                        <w:r>
                          <w:rPr>
                            <w:color w:val="595959"/>
                            <w:sz w:val="18"/>
                          </w:rPr>
                          <w:t>35</w:t>
                        </w:r>
                      </w:p>
                    </w:txbxContent>
                  </v:textbox>
                </v:rect>
                <v:rect id="Rectangle 345626" o:spid="_x0000_s1141" style="position:absolute;left:36697;top:27864;width:1109;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DmqyQAAAN8AAAAPAAAAZHJzL2Rvd25yZXYueG1sRI9Ba8JA&#10;FITvhf6H5RW81U21Bo1ZRWqLHlsVordH9jUJzb4N2dWk/npXKPQ4zMw3TLrsTS0u1LrKsoKXYQSC&#10;OLe64kLBYf/xPAXhPLLG2jIp+CUHy8XjQ4qJth1/0WXnCxEg7BJUUHrfJFK6vCSDbmgb4uB929ag&#10;D7ItpG6xC3BTy1EUxdJgxWGhxIbeSsp/dmejYDNtVsetvXZF/X7aZJ/ZbL2feaUGT/1qDsJT7//D&#10;f+2tVjB+ncSjGO5/wheQixsAAAD//wMAUEsBAi0AFAAGAAgAAAAhANvh9svuAAAAhQEAABMAAAAA&#10;AAAAAAAAAAAAAAAAAFtDb250ZW50X1R5cGVzXS54bWxQSwECLQAUAAYACAAAACEAWvQsW78AAAAV&#10;AQAACwAAAAAAAAAAAAAAAAAfAQAAX3JlbHMvLnJlbHNQSwECLQAUAAYACAAAACEAoYw5qskAAADf&#10;AAAADwAAAAAAAAAAAAAAAAAHAgAAZHJzL2Rvd25yZXYueG1sUEsFBgAAAAADAAMAtwAAAP0CAAAA&#10;AA==&#10;" filled="f" stroked="f">
                  <v:textbox inset="0,0,0,0">
                    <w:txbxContent>
                      <w:p w:rsidR="002010BA" w:rsidRDefault="002010BA">
                        <w:pPr>
                          <w:spacing w:after="160" w:line="259" w:lineRule="auto"/>
                          <w:ind w:left="0" w:firstLine="0"/>
                          <w:jc w:val="left"/>
                        </w:pPr>
                        <w:r>
                          <w:rPr>
                            <w:color w:val="595959"/>
                            <w:sz w:val="18"/>
                          </w:rPr>
                          <w:t>%</w:t>
                        </w:r>
                      </w:p>
                    </w:txbxContent>
                  </v:textbox>
                </v:rect>
                <v:rect id="Rectangle 345627" o:spid="_x0000_s1142" style="position:absolute;left:37926;top:27864;width:138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wxyAAAAN8AAAAPAAAAZHJzL2Rvd25yZXYueG1sRI9Ba8JA&#10;FITvgv9heYXedFO1VlNXEavosWpBvT2yr0kw+zZkVxP7612h4HGYmW+YyawxhbhS5XLLCt66EQji&#10;xOqcUwU/+1VnBMJ5ZI2FZVJwIwezabs1wVjbmrd03flUBAi7GBVk3pexlC7JyKDr2pI4eL+2MuiD&#10;rFKpK6wD3BSyF0VDaTDnsJBhSYuMkvPuYhSsR+X8uLF/dVosT+vD92H8tR97pV5fmvknCE+Nf4b/&#10;2xutoD94H/Y+4PEnfAE5vQMAAP//AwBQSwECLQAUAAYACAAAACEA2+H2y+4AAACFAQAAEwAAAAAA&#10;AAAAAAAAAAAAAAAAW0NvbnRlbnRfVHlwZXNdLnhtbFBLAQItABQABgAIAAAAIQBa9CxbvwAAABUB&#10;AAALAAAAAAAAAAAAAAAAAB8BAABfcmVscy8ucmVsc1BLAQItABQABgAIAAAAIQDOwJwxyAAAAN8A&#10;AAAPAAAAAAAAAAAAAAAAAAcCAABkcnMvZG93bnJldi54bWxQSwUGAAAAAAMAAwC3AAAA/AIAAAAA&#10;" filled="f" stroked="f">
                  <v:textbox inset="0,0,0,0">
                    <w:txbxContent>
                      <w:p w:rsidR="002010BA" w:rsidRDefault="002010BA">
                        <w:pPr>
                          <w:spacing w:after="160" w:line="259" w:lineRule="auto"/>
                          <w:ind w:left="0" w:firstLine="0"/>
                          <w:jc w:val="left"/>
                        </w:pPr>
                        <w:r>
                          <w:rPr>
                            <w:color w:val="595959"/>
                            <w:sz w:val="18"/>
                          </w:rPr>
                          <w:t>40</w:t>
                        </w:r>
                      </w:p>
                    </w:txbxContent>
                  </v:textbox>
                </v:rect>
                <v:rect id="Rectangle 345628" o:spid="_x0000_s1143" style="position:absolute;left:38962;top:27864;width:1108;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DxgAAAN8AAAAPAAAAZHJzL2Rvd25yZXYueG1sRE/LasJA&#10;FN0X/IfhCt3ViWkrGh1D6ANd+gJ1d8lck9DMnZCZJmm/vrMouDyc9yodTC06al1lWcF0EoEgzq2u&#10;uFBwOn4+zUE4j6yxtkwKfshBuh49rDDRtuc9dQdfiBDCLkEFpfdNIqXLSzLoJrYhDtzNtgZ9gG0h&#10;dYt9CDe1jKNoJg1WHBpKbOitpPzr8G0UbOZNdtna376oP66b8+68eD8uvFKP4yFbgvA0+Lv4373V&#10;Cp5fXmdxGBz+hC8g138AAAD//wMAUEsBAi0AFAAGAAgAAAAhANvh9svuAAAAhQEAABMAAAAAAAAA&#10;AAAAAAAAAAAAAFtDb250ZW50X1R5cGVzXS54bWxQSwECLQAUAAYACAAAACEAWvQsW78AAAAVAQAA&#10;CwAAAAAAAAAAAAAAAAAfAQAAX3JlbHMvLnJlbHNQSwECLQAUAAYACAAAACEAv18IQ8YAAADfAAAA&#10;DwAAAAAAAAAAAAAAAAAHAgAAZHJzL2Rvd25yZXYueG1sUEsFBgAAAAADAAMAtwAAAPoCAAAAAA==&#10;" filled="f" stroked="f">
                  <v:textbox inset="0,0,0,0">
                    <w:txbxContent>
                      <w:p w:rsidR="002010BA" w:rsidRDefault="002010BA">
                        <w:pPr>
                          <w:spacing w:after="160" w:line="259" w:lineRule="auto"/>
                          <w:ind w:left="0" w:firstLine="0"/>
                          <w:jc w:val="left"/>
                        </w:pPr>
                        <w:r>
                          <w:rPr>
                            <w:color w:val="595959"/>
                            <w:sz w:val="18"/>
                          </w:rPr>
                          <w:t>%</w:t>
                        </w:r>
                      </w:p>
                    </w:txbxContent>
                  </v:textbox>
                </v:rect>
                <v:rect id="Rectangle 345629" o:spid="_x0000_s1144" style="position:absolute;left:40190;top:27864;width:138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63YyQAAAN8AAAAPAAAAZHJzL2Rvd25yZXYueG1sRI9Ba8JA&#10;FITvQv/D8gq96abWBhNdRVolHq0K6u2RfU1Cs29Ddmtif323IPQ4zMw3zHzZm1pcqXWVZQXPowgE&#10;cW51xYWC42EznIJwHlljbZkU3MjBcvEwmGOqbccfdN37QgQIuxQVlN43qZQuL8mgG9mGOHiftjXo&#10;g2wLqVvsAtzUchxFsTRYcVgosaG3kvKv/bdRkE2b1Xlrf7qiXl+y0+6UvB8Sr9TTY7+agfDU+//w&#10;vb3VCl4mr/E4gb8/4QvIxS8AAAD//wMAUEsBAi0AFAAGAAgAAAAhANvh9svuAAAAhQEAABMAAAAA&#10;AAAAAAAAAAAAAAAAAFtDb250ZW50X1R5cGVzXS54bWxQSwECLQAUAAYACAAAACEAWvQsW78AAAAV&#10;AQAACwAAAAAAAAAAAAAAAAAfAQAAX3JlbHMvLnJlbHNQSwECLQAUAAYACAAAACEA0BOt2MkAAADf&#10;AAAADwAAAAAAAAAAAAAAAAAHAgAAZHJzL2Rvd25yZXYueG1sUEsFBgAAAAADAAMAtwAAAP0CAAAA&#10;AA==&#10;" filled="f" stroked="f">
                  <v:textbox inset="0,0,0,0">
                    <w:txbxContent>
                      <w:p w:rsidR="002010BA" w:rsidRDefault="002010BA">
                        <w:pPr>
                          <w:spacing w:after="160" w:line="259" w:lineRule="auto"/>
                          <w:ind w:left="0" w:firstLine="0"/>
                          <w:jc w:val="left"/>
                        </w:pPr>
                        <w:r>
                          <w:rPr>
                            <w:color w:val="595959"/>
                            <w:sz w:val="18"/>
                          </w:rPr>
                          <w:t>45</w:t>
                        </w:r>
                      </w:p>
                    </w:txbxContent>
                  </v:textbox>
                </v:rect>
                <v:rect id="Rectangle 345630" o:spid="_x0000_s1145" style="position:absolute;left:41226;top:27864;width:1108;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KYxwAAAN8AAAAPAAAAZHJzL2Rvd25yZXYueG1sRI/LasJA&#10;FIb3Bd9hOEJ3dWLTikbHEHpBl95A3R0yxyQ0cyZkpknap+8sCi5//hvfKh1MLTpqXWVZwXQSgSDO&#10;ra64UHA6fj7NQTiPrLG2TAp+yEG6Hj2sMNG25z11B1+IMMIuQQWl900ipctLMugmtiEO3s22Bn2Q&#10;bSF1i30YN7V8jqKZNFhxeCixobeS8q/Dt1GwmTfZZWt/+6L+uG7Ou/Pi/bjwSj2Oh2wJwtPg7+H/&#10;9lYriF9eZ3EgCDyBBeT6DwAA//8DAFBLAQItABQABgAIAAAAIQDb4fbL7gAAAIUBAAATAAAAAAAA&#10;AAAAAAAAAAAAAABbQ29udGVudF9UeXBlc10ueG1sUEsBAi0AFAAGAAgAAAAhAFr0LFu/AAAAFQEA&#10;AAsAAAAAAAAAAAAAAAAAHwEAAF9yZWxzLy5yZWxzUEsBAi0AFAAGAAgAAAAhAMTwkpjHAAAA3wAA&#10;AA8AAAAAAAAAAAAAAAAABwIAAGRycy9kb3ducmV2LnhtbFBLBQYAAAAAAwADALcAAAD7AgAAAAA=&#10;" filled="f" stroked="f">
                  <v:textbox inset="0,0,0,0">
                    <w:txbxContent>
                      <w:p w:rsidR="002010BA" w:rsidRDefault="002010BA">
                        <w:pPr>
                          <w:spacing w:after="160" w:line="259" w:lineRule="auto"/>
                          <w:ind w:left="0" w:firstLine="0"/>
                          <w:jc w:val="left"/>
                        </w:pPr>
                        <w:r>
                          <w:rPr>
                            <w:color w:val="595959"/>
                            <w:sz w:val="18"/>
                          </w:rPr>
                          <w:t>%</w:t>
                        </w:r>
                      </w:p>
                    </w:txbxContent>
                  </v:textbox>
                </v:rect>
                <v:rect id="Rectangle 345631" o:spid="_x0000_s1146" style="position:absolute;left:42458;top:27864;width:1383;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cDyQAAAN8AAAAPAAAAZHJzL2Rvd25yZXYueG1sRI9Ba8JA&#10;FITvQv/D8gq96SbViqZZRVpFjxoF9fbIviah2bchuzWxv75bKPQ4zMw3TLrsTS1u1LrKsoJ4FIEg&#10;zq2uuFBwOm6GMxDOI2usLZOCOzlYLh4GKSbadnygW+YLESDsElRQet8kUrq8JINuZBvi4H3Y1qAP&#10;si2kbrELcFPL5yiaSoMVh4USG3orKf/MvoyC7axZXXb2uyvq9XV73p/n78e5V+rpsV+9gvDU+//w&#10;X3unFYwnL9NxDL9/wheQix8AAAD//wMAUEsBAi0AFAAGAAgAAAAhANvh9svuAAAAhQEAABMAAAAA&#10;AAAAAAAAAAAAAAAAAFtDb250ZW50X1R5cGVzXS54bWxQSwECLQAUAAYACAAAACEAWvQsW78AAAAV&#10;AQAACwAAAAAAAAAAAAAAAAAfAQAAX3JlbHMvLnJlbHNQSwECLQAUAAYACAAAACEAq7w3A8kAAADf&#10;AAAADwAAAAAAAAAAAAAAAAAHAgAAZHJzL2Rvd25yZXYueG1sUEsFBgAAAAADAAMAtwAAAP0CAAAA&#10;AA==&#10;" filled="f" stroked="f">
                  <v:textbox inset="0,0,0,0">
                    <w:txbxContent>
                      <w:p w:rsidR="002010BA" w:rsidRDefault="002010BA">
                        <w:pPr>
                          <w:spacing w:after="160" w:line="259" w:lineRule="auto"/>
                          <w:ind w:left="0" w:firstLine="0"/>
                          <w:jc w:val="left"/>
                        </w:pPr>
                        <w:r>
                          <w:rPr>
                            <w:color w:val="595959"/>
                            <w:sz w:val="18"/>
                          </w:rPr>
                          <w:t>50</w:t>
                        </w:r>
                      </w:p>
                    </w:txbxContent>
                  </v:textbox>
                </v:rect>
                <v:rect id="Rectangle 345632" o:spid="_x0000_s1147" style="position:absolute;left:43494;top:27864;width:1109;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l0yQAAAN8AAAAPAAAAZHJzL2Rvd25yZXYueG1sRI9Ba8JA&#10;FITvBf/D8gq91U21isZsRLRFjzYWbG+P7DMJZt+G7Nak/fVuQfA4zMw3TLLsTS0u1LrKsoKXYQSC&#10;OLe64kLB5+H9eQbCeWSNtWVS8EsOlungIcFY244/6JL5QgQIuxgVlN43sZQuL8mgG9qGOHgn2xr0&#10;QbaF1C12AW5qOYqiqTRYcVgosaF1Sfk5+zEKtrNm9bWzf11Rv31vj/vjfHOYe6WeHvvVAoSn3t/D&#10;t/ZOKxi/TqbjEfz/CV9AplcAAAD//wMAUEsBAi0AFAAGAAgAAAAhANvh9svuAAAAhQEAABMAAAAA&#10;AAAAAAAAAAAAAAAAAFtDb250ZW50X1R5cGVzXS54bWxQSwECLQAUAAYACAAAACEAWvQsW78AAAAV&#10;AQAACwAAAAAAAAAAAAAAAAAfAQAAX3JlbHMvLnJlbHNQSwECLQAUAAYACAAAACEAW26pdMkAAADf&#10;AAAADwAAAAAAAAAAAAAAAAAHAgAAZHJzL2Rvd25yZXYueG1sUEsFBgAAAAADAAMAtwAAAP0CAAAA&#10;AA==&#10;" filled="f" stroked="f">
                  <v:textbox inset="0,0,0,0">
                    <w:txbxContent>
                      <w:p w:rsidR="002010BA" w:rsidRDefault="002010BA">
                        <w:pPr>
                          <w:spacing w:after="160" w:line="259" w:lineRule="auto"/>
                          <w:ind w:left="0" w:firstLine="0"/>
                          <w:jc w:val="left"/>
                        </w:pPr>
                        <w:r>
                          <w:rPr>
                            <w:color w:val="595959"/>
                            <w:sz w:val="18"/>
                          </w:rPr>
                          <w:t>%</w:t>
                        </w:r>
                      </w:p>
                    </w:txbxContent>
                  </v:textbox>
                </v:rect>
                <v:rect id="Rectangle 62492" o:spid="_x0000_s1148" style="position:absolute;left:13542;top:25506;width:824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8UKxgAAAN4AAAAPAAAAZHJzL2Rvd25yZXYueG1sRI9Pa8JA&#10;FMTvhX6H5RW81U2DiImuIm1Fj/4D9fbIviah2bchu5rop3cFweMwM79hJrPOVOJCjSstK/jqRyCI&#10;M6tLzhXsd4vPEQjnkTVWlknBlRzMpu9vE0y1bXlDl63PRYCwS1FB4X2dSumyggy6vq2Jg/dnG4M+&#10;yCaXusE2wE0l4ygaSoMlh4UCa/ouKPvfno2C5aieH1f21ubV72l5WB+Sn13ilep9dPMxCE+df4Wf&#10;7ZVWMIwHSQyPO+EKyOkdAAD//wMAUEsBAi0AFAAGAAgAAAAhANvh9svuAAAAhQEAABMAAAAAAAAA&#10;AAAAAAAAAAAAAFtDb250ZW50X1R5cGVzXS54bWxQSwECLQAUAAYACAAAACEAWvQsW78AAAAVAQAA&#10;CwAAAAAAAAAAAAAAAAAfAQAAX3JlbHMvLnJlbHNQSwECLQAUAAYACAAAACEA3HvFCsYAAADeAAAA&#10;DwAAAAAAAAAAAAAAAAAHAgAAZHJzL2Rvd25yZXYueG1sUEsFBgAAAAADAAMAtwAAAPoCAAAAAA==&#10;" filled="f" stroked="f">
                  <v:textbox inset="0,0,0,0">
                    <w:txbxContent>
                      <w:p w:rsidR="002010BA" w:rsidRDefault="002010BA">
                        <w:pPr>
                          <w:spacing w:after="160" w:line="259" w:lineRule="auto"/>
                          <w:ind w:left="0" w:firstLine="0"/>
                          <w:jc w:val="left"/>
                        </w:pPr>
                        <w:r>
                          <w:rPr>
                            <w:color w:val="595959"/>
                            <w:sz w:val="18"/>
                          </w:rPr>
                          <w:t>Other Services</w:t>
                        </w:r>
                      </w:p>
                    </w:txbxContent>
                  </v:textbox>
                </v:rect>
                <v:rect id="Rectangle 62493" o:spid="_x0000_s1149" style="position:absolute;left:1661;top:23562;width:25270;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2CRxwAAAN4AAAAPAAAAZHJzL2Rvd25yZXYueG1sRI9Pa8JA&#10;FMTvQr/D8gredFMVSVJXkVbRo//A9vbIviah2bchu5rop+8WBI/DzPyGmS06U4krNa60rOBtGIEg&#10;zqwuOVdwOq4HMQjnkTVWlknBjRws5i+9Gabatryn68HnIkDYpaig8L5OpXRZQQbd0NbEwfuxjUEf&#10;ZJNL3WAb4KaSoyiaSoMlh4UCa/ooKPs9XIyCTVwvv7b23ubV6ntz3p2Tz2Pileq/dst3EJ46/ww/&#10;2lutYDqaJGP4vxOugJz/AQAA//8DAFBLAQItABQABgAIAAAAIQDb4fbL7gAAAIUBAAATAAAAAAAA&#10;AAAAAAAAAAAAAABbQ29udGVudF9UeXBlc10ueG1sUEsBAi0AFAAGAAgAAAAhAFr0LFu/AAAAFQEA&#10;AAsAAAAAAAAAAAAAAAAAHwEAAF9yZWxzLy5yZWxzUEsBAi0AFAAGAAgAAAAhALM3YJHHAAAA3gAA&#10;AA8AAAAAAAAAAAAAAAAABwIAAGRycy9kb3ducmV2LnhtbFBLBQYAAAAAAwADALcAAAD7AgAAAAA=&#10;" filled="f" stroked="f">
                  <v:textbox inset="0,0,0,0">
                    <w:txbxContent>
                      <w:p w:rsidR="002010BA" w:rsidRDefault="002010BA">
                        <w:pPr>
                          <w:spacing w:after="160" w:line="259" w:lineRule="auto"/>
                          <w:ind w:left="0" w:firstLine="0"/>
                          <w:jc w:val="left"/>
                        </w:pPr>
                        <w:r>
                          <w:rPr>
                            <w:color w:val="595959"/>
                            <w:sz w:val="18"/>
                          </w:rPr>
                          <w:t>Motion Pictures, Sound recording and Misic…</w:t>
                        </w:r>
                      </w:p>
                    </w:txbxContent>
                  </v:textbox>
                </v:rect>
                <v:rect id="Rectangle 62494" o:spid="_x0000_s1150" style="position:absolute;left:829;top:21616;width:25130;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vjlxgAAAN4AAAAPAAAAZHJzL2Rvd25yZXYueG1sRI9Pi8Iw&#10;FMTvgt8hPMGbpoqI7RpFdEWP/gN3b4/mbVtsXkqTtd399EYQPA4z8xtmvmxNKe5Uu8KygtEwAkGc&#10;Wl1wpuBy3g5mIJxH1lhaJgV/5GC56HbmmGjb8JHuJ5+JAGGXoILc+yqR0qU5GXRDWxEH78fWBn2Q&#10;dSZ1jU2Am1KOo2gqDRYcFnKsaJ1Tejv9GgW7WbX62tv/Jis/v3fXwzXenGOvVL/Xrj5AeGr9O/xq&#10;77WC6XgST+B5J1wBuXgAAAD//wMAUEsBAi0AFAAGAAgAAAAhANvh9svuAAAAhQEAABMAAAAAAAAA&#10;AAAAAAAAAAAAAFtDb250ZW50X1R5cGVzXS54bWxQSwECLQAUAAYACAAAACEAWvQsW78AAAAVAQAA&#10;CwAAAAAAAAAAAAAAAAAfAQAAX3JlbHMvLnJlbHNQSwECLQAUAAYACAAAACEAPN745cYAAADeAAAA&#10;DwAAAAAAAAAAAAAAAAAHAgAAZHJzL2Rvd25yZXYueG1sUEsFBgAAAAADAAMAtwAAAPoCAAAAAA==&#10;" filled="f" stroked="f">
                  <v:textbox inset="0,0,0,0">
                    <w:txbxContent>
                      <w:p w:rsidR="002010BA" w:rsidRDefault="002010BA">
                        <w:pPr>
                          <w:spacing w:after="160" w:line="259" w:lineRule="auto"/>
                          <w:ind w:left="0" w:firstLine="0"/>
                          <w:jc w:val="left"/>
                        </w:pPr>
                        <w:r>
                          <w:rPr>
                            <w:color w:val="595959"/>
                            <w:sz w:val="18"/>
                          </w:rPr>
                          <w:t>Professional, Scientific and technical services</w:t>
                        </w:r>
                      </w:p>
                    </w:txbxContent>
                  </v:textbox>
                </v:rect>
                <v:rect id="Rectangle 62495" o:spid="_x0000_s1151" style="position:absolute;left:11142;top:19672;width:11420;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1+xwAAAN4AAAAPAAAAZHJzL2Rvd25yZXYueG1sRI9Pa8JA&#10;FMTvQr/D8gredFNRSVJXkVbRo//A9vbIviah2bchu5rop+8WBI/DzPyGmS06U4krNa60rOBtGIEg&#10;zqwuOVdwOq4HMQjnkTVWlknBjRws5i+9Gabatryn68HnIkDYpaig8L5OpXRZQQbd0NbEwfuxjUEf&#10;ZJNL3WAb4KaSoyiaSoMlh4UCa/ooKPs9XIyCTVwvv7b23ubV6ntz3p2Tz2Pileq/dst3EJ46/ww/&#10;2lutYDoaJxP4vxOugJz/AQAA//8DAFBLAQItABQABgAIAAAAIQDb4fbL7gAAAIUBAAATAAAAAAAA&#10;AAAAAAAAAAAAAABbQ29udGVudF9UeXBlc10ueG1sUEsBAi0AFAAGAAgAAAAhAFr0LFu/AAAAFQEA&#10;AAsAAAAAAAAAAAAAAAAAHwEAAF9yZWxzLy5yZWxzUEsBAi0AFAAGAAgAAAAhAFOSXX7HAAAA3gAA&#10;AA8AAAAAAAAAAAAAAAAABwIAAGRycy9kb3ducmV2LnhtbFBLBQYAAAAAAwADALcAAAD7AgAAAAA=&#10;" filled="f" stroked="f">
                  <v:textbox inset="0,0,0,0">
                    <w:txbxContent>
                      <w:p w:rsidR="002010BA" w:rsidRDefault="002010BA">
                        <w:pPr>
                          <w:spacing w:after="160" w:line="259" w:lineRule="auto"/>
                          <w:ind w:left="0" w:firstLine="0"/>
                          <w:jc w:val="left"/>
                        </w:pPr>
                        <w:r>
                          <w:rPr>
                            <w:color w:val="595959"/>
                            <w:sz w:val="18"/>
                          </w:rPr>
                          <w:t>Telecommunications</w:t>
                        </w:r>
                      </w:p>
                    </w:txbxContent>
                  </v:textbox>
                </v:rect>
                <v:rect id="Rectangle 62496" o:spid="_x0000_s1152" style="position:absolute;left:15572;top:17727;width:5541;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MJxgAAAN4AAAAPAAAAZHJzL2Rvd25yZXYueG1sRI9Pa8JA&#10;FMTvhX6H5RW81U1FgomuIm1Fj/4D9fbIviah2bchu5rop3cFweMwM79hJrPOVOJCjSstK/jqRyCI&#10;M6tLzhXsd4vPEQjnkTVWlknBlRzMpu9vE0y1bXlDl63PRYCwS1FB4X2dSumyggy6vq2Jg/dnG4M+&#10;yCaXusE2wE0lB1EUS4Mlh4UCa/ouKPvfno2C5aieH1f21ubV72l5WB+Sn13ilep9dPMxCE+df4Wf&#10;7ZVWEA+GSQyPO+EKyOkdAAD//wMAUEsBAi0AFAAGAAgAAAAhANvh9svuAAAAhQEAABMAAAAAAAAA&#10;AAAAAAAAAAAAAFtDb250ZW50X1R5cGVzXS54bWxQSwECLQAUAAYACAAAACEAWvQsW78AAAAVAQAA&#10;CwAAAAAAAAAAAAAAAAAfAQAAX3JlbHMvLnJlbHNQSwECLQAUAAYACAAAACEAo0DDCcYAAADeAAAA&#10;DwAAAAAAAAAAAAAAAAAHAgAAZHJzL2Rvd25yZXYueG1sUEsFBgAAAAADAAMAtwAAAPoCAAAAAA==&#10;" filled="f" stroked="f">
                  <v:textbox inset="0,0,0,0">
                    <w:txbxContent>
                      <w:p w:rsidR="002010BA" w:rsidRDefault="002010BA">
                        <w:pPr>
                          <w:spacing w:after="160" w:line="259" w:lineRule="auto"/>
                          <w:ind w:left="0" w:firstLine="0"/>
                          <w:jc w:val="left"/>
                        </w:pPr>
                        <w:r>
                          <w:rPr>
                            <w:color w:val="595959"/>
                            <w:sz w:val="18"/>
                          </w:rPr>
                          <w:t>Education</w:t>
                        </w:r>
                      </w:p>
                    </w:txbxContent>
                  </v:textbox>
                </v:rect>
                <v:rect id="Rectangle 62497" o:spid="_x0000_s1153" style="position:absolute;left:11247;top:15783;width:11293;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aSxwAAAN4AAAAPAAAAZHJzL2Rvd25yZXYueG1sRI9Ba8JA&#10;FITvQv/D8gq96aYiamI2Iq1Fj1UL6u2RfSah2bchuzWpv94tCD0OM/MNky57U4srta6yrOB1FIEg&#10;zq2uuFDwdfgYzkE4j6yxtkwKfsnBMnsapJho2/GOrntfiABhl6CC0vsmkdLlJRl0I9sQB+9iW4M+&#10;yLaQusUuwE0tx1E0lQYrDgslNvRWUv69/zEKNvNmddraW1fU6/Pm+HmM3w+xV+rluV8tQHjq/X/4&#10;0d5qBdPxJJ7B351wBWR2BwAA//8DAFBLAQItABQABgAIAAAAIQDb4fbL7gAAAIUBAAATAAAAAAAA&#10;AAAAAAAAAAAAAABbQ29udGVudF9UeXBlc10ueG1sUEsBAi0AFAAGAAgAAAAhAFr0LFu/AAAAFQEA&#10;AAsAAAAAAAAAAAAAAAAAHwEAAF9yZWxzLy5yZWxzUEsBAi0AFAAGAAgAAAAhAMwMZpLHAAAA3gAA&#10;AA8AAAAAAAAAAAAAAAAABwIAAGRycy9kb3ducmV2LnhtbFBLBQYAAAAAAwADALcAAAD7AgAAAAA=&#10;" filled="f" stroked="f">
                  <v:textbox inset="0,0,0,0">
                    <w:txbxContent>
                      <w:p w:rsidR="002010BA" w:rsidRDefault="002010BA">
                        <w:pPr>
                          <w:spacing w:after="160" w:line="259" w:lineRule="auto"/>
                          <w:ind w:left="0" w:firstLine="0"/>
                          <w:jc w:val="left"/>
                        </w:pPr>
                        <w:r>
                          <w:rPr>
                            <w:color w:val="595959"/>
                            <w:sz w:val="18"/>
                          </w:rPr>
                          <w:t>Financial Institutions</w:t>
                        </w:r>
                      </w:p>
                    </w:txbxContent>
                  </v:textbox>
                </v:rect>
                <v:rect id="Rectangle 62498" o:spid="_x0000_s1154" style="position:absolute;left:14895;top:13839;width:644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gwwAAAN4AAAAPAAAAZHJzL2Rvd25yZXYueG1sRE/LisIw&#10;FN0P+A/hCu7GVBGx1SjiA13OqKDuLs21LTY3pYm2+vWTxYDLw3nPFq0pxZNqV1hWMOhHIIhTqwvO&#10;FJyO2+8JCOeRNZaWScGLHCzmna8ZJto2/EvPg89ECGGXoILc+yqR0qU5GXR9WxEH7mZrgz7AOpO6&#10;xiaEm1IOo2gsDRYcGnKsaJVTej88jILdpFpe9vbdZOXmujv/nOP1MfZK9brtcgrCU+s/4n/3XisY&#10;D0dx2BvuhCsg538AAAD//wMAUEsBAi0AFAAGAAgAAAAhANvh9svuAAAAhQEAABMAAAAAAAAAAAAA&#10;AAAAAAAAAFtDb250ZW50X1R5cGVzXS54bWxQSwECLQAUAAYACAAAACEAWvQsW78AAAAVAQAACwAA&#10;AAAAAAAAAAAAAAAfAQAAX3JlbHMvLnJlbHNQSwECLQAUAAYACAAAACEAvZPy4MMAAADeAAAADwAA&#10;AAAAAAAAAAAAAAAHAgAAZHJzL2Rvd25yZXYueG1sUEsFBgAAAAADAAMAtwAAAPcCAAAAAA==&#10;" filled="f" stroked="f">
                  <v:textbox inset="0,0,0,0">
                    <w:txbxContent>
                      <w:p w:rsidR="002010BA" w:rsidRDefault="002010BA">
                        <w:pPr>
                          <w:spacing w:after="160" w:line="259" w:lineRule="auto"/>
                          <w:ind w:left="0" w:firstLine="0"/>
                          <w:jc w:val="left"/>
                        </w:pPr>
                        <w:r>
                          <w:rPr>
                            <w:color w:val="595959"/>
                            <w:sz w:val="18"/>
                          </w:rPr>
                          <w:t>Real Estate</w:t>
                        </w:r>
                      </w:p>
                    </w:txbxContent>
                  </v:textbox>
                </v:rect>
                <v:rect id="Rectangle 62499" o:spid="_x0000_s1155" style="position:absolute;left:7388;top:11890;width:16415;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1d7xgAAAN4AAAAPAAAAZHJzL2Rvd25yZXYueG1sRI9Bi8Iw&#10;FITvgv8hPGFvmiqL2GoUcVf06Kqg3h7Nsy02L6WJtru/3iwIHoeZ+YaZLVpTigfVrrCsYDiIQBCn&#10;VhecKTge1v0JCOeRNZaWScEvOVjMu50ZJto2/EOPvc9EgLBLUEHufZVI6dKcDLqBrYiDd7W1QR9k&#10;nUldYxPgppSjKBpLgwWHhRwrWuWU3vZ3o2AzqZbnrf1rsvL7sjntTvHXIfZKffTa5RSEp9a/w6/2&#10;VisYjz7jGP7vhCsg508AAAD//wMAUEsBAi0AFAAGAAgAAAAhANvh9svuAAAAhQEAABMAAAAAAAAA&#10;AAAAAAAAAAAAAFtDb250ZW50X1R5cGVzXS54bWxQSwECLQAUAAYACAAAACEAWvQsW78AAAAVAQAA&#10;CwAAAAAAAAAAAAAAAAAfAQAAX3JlbHMvLnJlbHNQSwECLQAUAAYACAAAACEA0t9Xe8YAAADeAAAA&#10;DwAAAAAAAAAAAAAAAAAHAgAAZHJzL2Rvd25yZXYueG1sUEsFBgAAAAADAAMAtwAAAPoCAAAAAA==&#10;" filled="f" stroked="f">
                  <v:textbox inset="0,0,0,0">
                    <w:txbxContent>
                      <w:p w:rsidR="002010BA" w:rsidRDefault="002010BA">
                        <w:pPr>
                          <w:spacing w:after="160" w:line="259" w:lineRule="auto"/>
                          <w:ind w:left="0" w:firstLine="0"/>
                          <w:jc w:val="left"/>
                        </w:pPr>
                        <w:r>
                          <w:rPr>
                            <w:color w:val="595959"/>
                            <w:sz w:val="18"/>
                          </w:rPr>
                          <w:t>Food, Beverage and Tobacco</w:t>
                        </w:r>
                      </w:p>
                    </w:txbxContent>
                  </v:textbox>
                </v:rect>
                <v:rect id="Rectangle 62500" o:spid="_x0000_s1156" style="position:absolute;left:10988;top:9946;width:1163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T8xgAAAN4AAAAPAAAAZHJzL2Rvd25yZXYueG1sRI/NasJA&#10;FIX3Bd9huIK7OjGgaOoowVaSpVVBu7tkbpPQzJ2QGU3ap3cWBZeH88e33g6mEXfqXG1ZwWwagSAu&#10;rK65VHA+7V+XIJxH1thYJgW/5GC7Gb2sMdG250+6H30pwgi7BBVU3reJlK6oyKCb2pY4eN+2M+iD&#10;7EqpO+zDuGlkHEULabDm8FBhS7uKip/jzSjIlm16ze1fXzYfX9nlcFm9n1Zeqcl4SN9AeBr8M/zf&#10;zrWCRTyPAkDACSggNw8AAAD//wMAUEsBAi0AFAAGAAgAAAAhANvh9svuAAAAhQEAABMAAAAAAAAA&#10;AAAAAAAAAAAAAFtDb250ZW50X1R5cGVzXS54bWxQSwECLQAUAAYACAAAACEAWvQsW78AAAAVAQAA&#10;CwAAAAAAAAAAAAAAAAAfAQAAX3JlbHMvLnJlbHNQSwECLQAUAAYACAAAACEA3Q5k/MYAAADeAAAA&#10;DwAAAAAAAAAAAAAAAAAHAgAAZHJzL2Rvd25yZXYueG1sUEsFBgAAAAADAAMAtwAAAPoCAAAAAA==&#10;" filled="f" stroked="f">
                  <v:textbox inset="0,0,0,0">
                    <w:txbxContent>
                      <w:p w:rsidR="002010BA" w:rsidRDefault="002010BA">
                        <w:pPr>
                          <w:spacing w:after="160" w:line="259" w:lineRule="auto"/>
                          <w:ind w:left="0" w:firstLine="0"/>
                          <w:jc w:val="left"/>
                        </w:pPr>
                        <w:r>
                          <w:rPr>
                            <w:color w:val="595959"/>
                            <w:sz w:val="18"/>
                          </w:rPr>
                          <w:t>Public Administration</w:t>
                        </w:r>
                      </w:p>
                    </w:txbxContent>
                  </v:textbox>
                </v:rect>
                <v:rect id="Rectangle 62501" o:spid="_x0000_s1157" style="position:absolute;left:12969;top:8002;width:9004;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FnxwAAAN4AAAAPAAAAZHJzL2Rvd25yZXYueG1sRI9Ba8JA&#10;FITvQv/D8oTedGOgYqKrSFuJxzYW1Nsj+0yC2bchu5q0v75bEHocZuYbZrUZTCPu1LnasoLZNAJB&#10;XFhdc6ng67CbLEA4j6yxsUwKvsnBZv00WmGqbc+fdM99KQKEXYoKKu/bVEpXVGTQTW1LHLyL7Qz6&#10;ILtS6g77ADeNjKNoLg3WHBYqbOm1ouKa34yCbNFuT3v705fN+zk7fhyTt0PilXoeD9slCE+D/w8/&#10;2nutYB6/RDP4uxOugFz/AgAA//8DAFBLAQItABQABgAIAAAAIQDb4fbL7gAAAIUBAAATAAAAAAAA&#10;AAAAAAAAAAAAAABbQ29udGVudF9UeXBlc10ueG1sUEsBAi0AFAAGAAgAAAAhAFr0LFu/AAAAFQEA&#10;AAsAAAAAAAAAAAAAAAAAHwEAAF9yZWxzLy5yZWxzUEsBAi0AFAAGAAgAAAAhALJCwWfHAAAA3gAA&#10;AA8AAAAAAAAAAAAAAAAABwIAAGRycy9kb3ducmV2LnhtbFBLBQYAAAAAAwADALcAAAD7AgAAAAA=&#10;" filled="f" stroked="f">
                  <v:textbox inset="0,0,0,0">
                    <w:txbxContent>
                      <w:p w:rsidR="002010BA" w:rsidRDefault="002010BA">
                        <w:pPr>
                          <w:spacing w:after="160" w:line="259" w:lineRule="auto"/>
                          <w:ind w:left="0" w:firstLine="0"/>
                          <w:jc w:val="left"/>
                        </w:pPr>
                        <w:r>
                          <w:rPr>
                            <w:color w:val="595959"/>
                            <w:sz w:val="18"/>
                          </w:rPr>
                          <w:t>Crop Production</w:t>
                        </w:r>
                      </w:p>
                    </w:txbxContent>
                  </v:textbox>
                </v:rect>
                <v:rect id="Rectangle 62502" o:spid="_x0000_s1158" style="position:absolute;left:6951;top:3767;width:42304;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8QxgAAAN4AAAAPAAAAZHJzL2Rvd25yZXYueG1sRI9Pi8Iw&#10;FMTvC/sdwlvwtqZbULQaRVYXPfoP1NujebbF5qU0WVv99EYQPA4z8xtmPG1NKa5Uu8Kygp9uBII4&#10;tbrgTMF+9/c9AOE8ssbSMim4kYPp5PNjjIm2DW/ouvWZCBB2CSrIva8SKV2ak0HXtRVx8M62NuiD&#10;rDOpa2wC3JQyjqK+NFhwWMixot+c0sv23yhYDqrZcWXvTVYuTsvD+jCc74Zeqc5XOxuB8NT6d/jV&#10;XmkF/bgXxfC8E66AnDwAAAD//wMAUEsBAi0AFAAGAAgAAAAhANvh9svuAAAAhQEAABMAAAAAAAAA&#10;AAAAAAAAAAAAAFtDb250ZW50X1R5cGVzXS54bWxQSwECLQAUAAYACAAAACEAWvQsW78AAAAVAQAA&#10;CwAAAAAAAAAAAAAAAAAfAQAAX3JlbHMvLnJlbHNQSwECLQAUAAYACAAAACEAQpBfEMYAAADeAAAA&#10;DwAAAAAAAAAAAAAAAAAHAgAAZHJzL2Rvd25yZXYueG1sUEsFBgAAAAADAAMAtwAAAPoCAAAAAA==&#10;" filled="f" stroked="f">
                  <v:textbox inset="0,0,0,0">
                    <w:txbxContent>
                      <w:p w:rsidR="002010BA" w:rsidRDefault="002010BA">
                        <w:pPr>
                          <w:spacing w:after="160" w:line="259" w:lineRule="auto"/>
                          <w:ind w:left="0" w:firstLine="0"/>
                          <w:jc w:val="left"/>
                        </w:pPr>
                        <w:r>
                          <w:rPr>
                            <w:color w:val="595959"/>
                            <w:sz w:val="36"/>
                          </w:rPr>
                          <w:t>Illustrative Distribution of Forgone VAT</w:t>
                        </w:r>
                      </w:p>
                    </w:txbxContent>
                  </v:textbox>
                </v:rect>
                <v:shape id="Shape 62503" o:spid="_x0000_s1159" style="position:absolute;top:2328;width:45720;height:27429;visibility:visible;mso-wrap-style:square;v-text-anchor:top" coordsize="4572000,274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63cxwAAAN4AAAAPAAAAZHJzL2Rvd25yZXYueG1sRI9Pa8JA&#10;FMTvBb/D8oTedOOfqkRXkYIY2l6qgtdH9pmEZN9us9uYfvtuQehxmJnfMJtdbxrRUesrywom4wQE&#10;cW51xYWCy/kwWoHwAVljY5kU/JCH3XbwtMFU2zt/UncKhYgQ9ikqKENwqZQ+L8mgH1tHHL2bbQ2G&#10;KNtC6hbvEW4aOU2ShTRYcVwo0dFrSXl9+jYKXDa/ZZ2s8uNxXl/rj+zrfenelHoe9vs1iEB9+A8/&#10;2plWsJi+JDP4uxOvgNz+AgAA//8DAFBLAQItABQABgAIAAAAIQDb4fbL7gAAAIUBAAATAAAAAAAA&#10;AAAAAAAAAAAAAABbQ29udGVudF9UeXBlc10ueG1sUEsBAi0AFAAGAAgAAAAhAFr0LFu/AAAAFQEA&#10;AAsAAAAAAAAAAAAAAAAAHwEAAF9yZWxzLy5yZWxzUEsBAi0AFAAGAAgAAAAhANm3rdzHAAAA3gAA&#10;AA8AAAAAAAAAAAAAAAAABwIAAGRycy9kb3ducmV2LnhtbFBLBQYAAAAAAwADALcAAAD7AgAAAAA=&#10;" path="m4572000,r,2742882l,2742882,,e" filled="f" strokecolor="#d9d9d9">
                  <v:path arrowok="t" textboxrect="0,0,4572000,2742882"/>
                </v:shape>
                <w10:anchorlock/>
              </v:group>
            </w:pict>
          </mc:Fallback>
        </mc:AlternateContent>
      </w:r>
    </w:p>
    <w:p w:rsidR="001C682A" w:rsidRDefault="00B03C38">
      <w:pPr>
        <w:pStyle w:val="Heading7"/>
        <w:tabs>
          <w:tab w:val="center" w:pos="336"/>
          <w:tab w:val="center" w:pos="1798"/>
        </w:tabs>
        <w:spacing w:after="4" w:line="252" w:lineRule="auto"/>
        <w:ind w:left="0" w:firstLine="0"/>
      </w:pPr>
      <w:r>
        <w:rPr>
          <w:rFonts w:ascii="Calibri" w:eastAsia="Calibri" w:hAnsi="Calibri" w:cs="Calibri"/>
          <w:color w:val="000000"/>
          <w:sz w:val="22"/>
        </w:rPr>
        <w:tab/>
      </w:r>
      <w:r>
        <w:rPr>
          <w:rFonts w:ascii="Franklin Gothic Book" w:eastAsia="Franklin Gothic Book" w:hAnsi="Franklin Gothic Book" w:cs="Franklin Gothic Book"/>
          <w:color w:val="000000"/>
        </w:rPr>
        <w:t xml:space="preserve">4.  </w:t>
      </w:r>
      <w:r>
        <w:rPr>
          <w:rFonts w:ascii="Franklin Gothic Book" w:eastAsia="Franklin Gothic Book" w:hAnsi="Franklin Gothic Book" w:cs="Franklin Gothic Book"/>
          <w:color w:val="000000"/>
        </w:rPr>
        <w:tab/>
        <w:t xml:space="preserve">CONCLUSIONS </w:t>
      </w:r>
    </w:p>
    <w:p w:rsidR="001C682A" w:rsidRDefault="00B03C38">
      <w:pPr>
        <w:spacing w:after="253" w:line="259" w:lineRule="auto"/>
        <w:ind w:left="190" w:firstLine="0"/>
        <w:jc w:val="left"/>
      </w:pPr>
      <w:r>
        <w:rPr>
          <w:rFonts w:ascii="Calibri" w:eastAsia="Calibri" w:hAnsi="Calibri" w:cs="Calibri"/>
          <w:noProof/>
        </w:rPr>
        <mc:AlternateContent>
          <mc:Choice Requires="wpg">
            <w:drawing>
              <wp:inline distT="0" distB="0" distL="0" distR="0">
                <wp:extent cx="5764658" cy="18286"/>
                <wp:effectExtent l="0" t="0" r="0" b="0"/>
                <wp:docPr id="346188" name="Group 346188"/>
                <wp:cNvGraphicFramePr/>
                <a:graphic xmlns:a="http://schemas.openxmlformats.org/drawingml/2006/main">
                  <a:graphicData uri="http://schemas.microsoft.com/office/word/2010/wordprocessingGroup">
                    <wpg:wgp>
                      <wpg:cNvGrpSpPr/>
                      <wpg:grpSpPr>
                        <a:xfrm>
                          <a:off x="0" y="0"/>
                          <a:ext cx="5764658" cy="18286"/>
                          <a:chOff x="0" y="0"/>
                          <a:chExt cx="5764658" cy="18286"/>
                        </a:xfrm>
                      </wpg:grpSpPr>
                      <wps:wsp>
                        <wps:cNvPr id="395901" name="Shape 395901"/>
                        <wps:cNvSpPr/>
                        <wps:spPr>
                          <a:xfrm>
                            <a:off x="0" y="0"/>
                            <a:ext cx="5764658" cy="18286"/>
                          </a:xfrm>
                          <a:custGeom>
                            <a:avLst/>
                            <a:gdLst/>
                            <a:ahLst/>
                            <a:cxnLst/>
                            <a:rect l="0" t="0" r="0" b="0"/>
                            <a:pathLst>
                              <a:path w="5764658" h="18286">
                                <a:moveTo>
                                  <a:pt x="0" y="0"/>
                                </a:moveTo>
                                <a:lnTo>
                                  <a:pt x="5764658" y="0"/>
                                </a:lnTo>
                                <a:lnTo>
                                  <a:pt x="5764658" y="18286"/>
                                </a:lnTo>
                                <a:lnTo>
                                  <a:pt x="0" y="18286"/>
                                </a:lnTo>
                                <a:lnTo>
                                  <a:pt x="0" y="0"/>
                                </a:lnTo>
                              </a:path>
                            </a:pathLst>
                          </a:custGeom>
                          <a:ln w="0" cap="flat">
                            <a:miter lim="127000"/>
                          </a:ln>
                        </wps:spPr>
                        <wps:style>
                          <a:lnRef idx="0">
                            <a:srgbClr val="000000">
                              <a:alpha val="0"/>
                            </a:srgbClr>
                          </a:lnRef>
                          <a:fillRef idx="1">
                            <a:srgbClr val="000080"/>
                          </a:fillRef>
                          <a:effectRef idx="0">
                            <a:scrgbClr r="0" g="0" b="0"/>
                          </a:effectRef>
                          <a:fontRef idx="none"/>
                        </wps:style>
                        <wps:bodyPr/>
                      </wps:wsp>
                    </wpg:wgp>
                  </a:graphicData>
                </a:graphic>
              </wp:inline>
            </w:drawing>
          </mc:Choice>
          <mc:Fallback xmlns:a="http://schemas.openxmlformats.org/drawingml/2006/main">
            <w:pict>
              <v:group id="Group 346188" style="width:453.91pt;height:1.43988pt;mso-position-horizontal-relative:char;mso-position-vertical-relative:line" coordsize="57646,182">
                <v:shape id="Shape 395902" style="position:absolute;width:57646;height:182;left:0;top:0;" coordsize="5764658,18286" path="m0,0l5764658,0l5764658,18286l0,18286l0,0">
                  <v:stroke weight="0pt" endcap="flat" joinstyle="miter" miterlimit="10" on="false" color="#000000" opacity="0"/>
                  <v:fill on="true" color="#000080"/>
                </v:shape>
              </v:group>
            </w:pict>
          </mc:Fallback>
        </mc:AlternateContent>
      </w:r>
    </w:p>
    <w:p w:rsidR="001C682A" w:rsidRDefault="00B03C38">
      <w:pPr>
        <w:ind w:left="236" w:right="816"/>
      </w:pPr>
      <w:r>
        <w:t xml:space="preserve">The most significant conclusion is the large size of Nigeria’s revenue forgone from just two of the main taxes, i.e., CIT and VAT. Nigeria’s non-oil revenue potential is at least twice its current collections. The preliminary estimate of revenue forgone from CIT incentives and concessions in 2019 is NGN 1.1 trillion; for contrast, 2019 CIT </w:t>
      </w:r>
      <w:r>
        <w:rPr>
          <w:i/>
        </w:rPr>
        <w:t>collections</w:t>
      </w:r>
      <w:r>
        <w:t xml:space="preserve"> was NGN 1.6 trillion. The preliminary estimate of revenue forgone from VAT policy choices and compliance gaps is estimated to be NGN 3.1 trillion and could possibly be more. It is worth reiterating that revenue forgone from Customs Duty, Excises, Petroleum Production Tax, Personal Income Tax and concessions under the Oil and Gas Zones legislation is still to be computed. </w:t>
      </w:r>
    </w:p>
    <w:p w:rsidR="001C682A" w:rsidRDefault="00B03C38">
      <w:pPr>
        <w:spacing w:after="0" w:line="259" w:lineRule="auto"/>
        <w:ind w:left="218" w:firstLine="0"/>
        <w:jc w:val="left"/>
      </w:pPr>
      <w:r>
        <w:t xml:space="preserve"> </w:t>
      </w:r>
    </w:p>
    <w:p w:rsidR="001C682A" w:rsidRDefault="00B03C38">
      <w:pPr>
        <w:ind w:left="236" w:right="816"/>
      </w:pPr>
      <w:r>
        <w:t xml:space="preserve">Current estimates will be improved as disaggregated data becomes available; data requests have been made to the relevant MDAs and their responses are awaited. Going forward, data being used for the Tax Expenditure Statement have to be validated and undergo Data Quality Assurance.  </w:t>
      </w:r>
    </w:p>
    <w:p w:rsidR="001C682A" w:rsidRDefault="00B03C38">
      <w:pPr>
        <w:spacing w:after="0" w:line="259" w:lineRule="auto"/>
        <w:ind w:left="218" w:firstLine="0"/>
        <w:jc w:val="left"/>
      </w:pPr>
      <w:r>
        <w:t xml:space="preserve"> </w:t>
      </w:r>
    </w:p>
    <w:p w:rsidR="001C682A" w:rsidRDefault="00B03C38">
      <w:pPr>
        <w:spacing w:after="148"/>
        <w:ind w:left="236" w:right="816"/>
      </w:pPr>
      <w:r>
        <w:t>Finally, it is critical to recognize that preparation of the Tax Expenditure Statement is the responsibility of the Nigerian MDAs, supported by World Bank. We see the work going forward as a joint modelling exercise to be carried out by the WB and Nigerian teams.  The WB team remains committed to provide the model and train willing officials of the relevant MDAs. A draft computational model has been built. Further data simulations will require expertise from FIRS, NCS, NBS and TSD. As we move ahead to help the Tax Expenditure Committee come up with a robust Tax Expenditure Statement by the Budget submission, outstanding data issues need to be resolved in July 2020, so that computational work can be carried out in August 2020.</w:t>
      </w:r>
      <w:r>
        <w:rPr>
          <w:sz w:val="24"/>
        </w:rPr>
        <w:t xml:space="preserve"> </w:t>
      </w:r>
    </w:p>
    <w:p w:rsidR="001C682A" w:rsidRDefault="00B03C38">
      <w:pPr>
        <w:spacing w:after="0" w:line="259" w:lineRule="auto"/>
        <w:ind w:left="218" w:firstLine="0"/>
        <w:jc w:val="left"/>
      </w:pPr>
      <w:r>
        <w:rPr>
          <w:rFonts w:ascii="Franklin Gothic Book" w:eastAsia="Franklin Gothic Book" w:hAnsi="Franklin Gothic Book" w:cs="Franklin Gothic Book"/>
          <w:sz w:val="24"/>
        </w:rPr>
        <w:t xml:space="preserve"> </w:t>
      </w:r>
    </w:p>
    <w:sectPr w:rsidR="001C682A">
      <w:footerReference w:type="even" r:id="rId38"/>
      <w:footerReference w:type="default" r:id="rId39"/>
      <w:footerReference w:type="first" r:id="rId40"/>
      <w:pgSz w:w="11899" w:h="16841"/>
      <w:pgMar w:top="1440" w:right="605" w:bottom="1443" w:left="1222" w:header="720" w:footer="6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3256" w:rsidRDefault="00F13256">
      <w:pPr>
        <w:spacing w:after="0" w:line="240" w:lineRule="auto"/>
      </w:pPr>
      <w:r>
        <w:separator/>
      </w:r>
    </w:p>
  </w:endnote>
  <w:endnote w:type="continuationSeparator" w:id="0">
    <w:p w:rsidR="00F13256" w:rsidRDefault="00F13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0BA" w:rsidRDefault="002010BA">
    <w:pPr>
      <w:spacing w:after="0" w:line="259" w:lineRule="auto"/>
      <w:ind w:left="0" w:right="-8" w:firstLine="0"/>
      <w:jc w:val="right"/>
    </w:pPr>
    <w:r>
      <w:rPr>
        <w:rFonts w:ascii="Century Gothic" w:eastAsia="Century Gothic" w:hAnsi="Century Gothic" w:cs="Century Gothic"/>
        <w:b/>
        <w:sz w:val="16"/>
      </w:rPr>
      <w:fldChar w:fldCharType="begin"/>
    </w:r>
    <w:r>
      <w:rPr>
        <w:rFonts w:ascii="Century Gothic" w:eastAsia="Century Gothic" w:hAnsi="Century Gothic" w:cs="Century Gothic"/>
        <w:b/>
        <w:sz w:val="16"/>
      </w:rPr>
      <w:instrText xml:space="preserve"> PAGE   \* MERGEFORMAT </w:instrText>
    </w:r>
    <w:r>
      <w:rPr>
        <w:rFonts w:ascii="Century Gothic" w:eastAsia="Century Gothic" w:hAnsi="Century Gothic" w:cs="Century Gothic"/>
        <w:b/>
        <w:sz w:val="16"/>
      </w:rPr>
      <w:fldChar w:fldCharType="separate"/>
    </w:r>
    <w:r>
      <w:rPr>
        <w:rFonts w:ascii="Century Gothic" w:eastAsia="Century Gothic" w:hAnsi="Century Gothic" w:cs="Century Gothic"/>
        <w:b/>
        <w:sz w:val="16"/>
      </w:rPr>
      <w:t>1</w:t>
    </w:r>
    <w:r>
      <w:rPr>
        <w:rFonts w:ascii="Century Gothic" w:eastAsia="Century Gothic" w:hAnsi="Century Gothic" w:cs="Century Gothic"/>
        <w:b/>
        <w:sz w:val="16"/>
      </w:rPr>
      <w:fldChar w:fldCharType="end"/>
    </w:r>
    <w:r>
      <w:rPr>
        <w:rFonts w:ascii="Century Gothic" w:eastAsia="Century Gothic" w:hAnsi="Century Gothic" w:cs="Century Gothic"/>
        <w:b/>
        <w:sz w:val="16"/>
      </w:rPr>
      <w:t xml:space="preserve"> </w:t>
    </w:r>
  </w:p>
  <w:p w:rsidR="002010BA" w:rsidRDefault="002010BA">
    <w:pPr>
      <w:spacing w:after="0" w:line="216" w:lineRule="auto"/>
      <w:ind w:left="0" w:right="5416" w:firstLine="0"/>
      <w:jc w:val="left"/>
    </w:pPr>
    <w:r>
      <w:rPr>
        <w:rFonts w:ascii="Century Gothic" w:eastAsia="Century Gothic" w:hAnsi="Century Gothic" w:cs="Century Gothic"/>
        <w:sz w:val="16"/>
      </w:rPr>
      <w:t xml:space="preserve">Budget Office of the Federation / FMFBNP </w:t>
    </w:r>
    <w:r>
      <w:rPr>
        <w:rFonts w:ascii="Century Gothic" w:eastAsia="Century Gothic" w:hAnsi="Century Gothic" w:cs="Century Gothic"/>
        <w:b/>
        <w:sz w:val="16"/>
      </w:rPr>
      <w:t>2021 – 2023 MTEF/FSP</w:t>
    </w:r>
    <w:r>
      <w:rPr>
        <w:rFonts w:ascii="Franklin Gothic Book" w:eastAsia="Franklin Gothic Book" w:hAnsi="Franklin Gothic Book" w:cs="Franklin Gothic Book"/>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0BA" w:rsidRDefault="002010BA">
    <w:pPr>
      <w:spacing w:after="0" w:line="259" w:lineRule="auto"/>
      <w:ind w:left="0" w:right="-8" w:firstLine="0"/>
      <w:jc w:val="right"/>
    </w:pPr>
    <w:r>
      <w:rPr>
        <w:rFonts w:ascii="Century Gothic" w:eastAsia="Century Gothic" w:hAnsi="Century Gothic" w:cs="Century Gothic"/>
        <w:b/>
        <w:sz w:val="16"/>
      </w:rPr>
      <w:fldChar w:fldCharType="begin"/>
    </w:r>
    <w:r>
      <w:rPr>
        <w:rFonts w:ascii="Century Gothic" w:eastAsia="Century Gothic" w:hAnsi="Century Gothic" w:cs="Century Gothic"/>
        <w:b/>
        <w:sz w:val="16"/>
      </w:rPr>
      <w:instrText xml:space="preserve"> PAGE   \* MERGEFORMAT </w:instrText>
    </w:r>
    <w:r>
      <w:rPr>
        <w:rFonts w:ascii="Century Gothic" w:eastAsia="Century Gothic" w:hAnsi="Century Gothic" w:cs="Century Gothic"/>
        <w:b/>
        <w:sz w:val="16"/>
      </w:rPr>
      <w:fldChar w:fldCharType="separate"/>
    </w:r>
    <w:r>
      <w:rPr>
        <w:rFonts w:ascii="Century Gothic" w:eastAsia="Century Gothic" w:hAnsi="Century Gothic" w:cs="Century Gothic"/>
        <w:b/>
        <w:sz w:val="16"/>
      </w:rPr>
      <w:t>1</w:t>
    </w:r>
    <w:r>
      <w:rPr>
        <w:rFonts w:ascii="Century Gothic" w:eastAsia="Century Gothic" w:hAnsi="Century Gothic" w:cs="Century Gothic"/>
        <w:b/>
        <w:sz w:val="16"/>
      </w:rPr>
      <w:fldChar w:fldCharType="end"/>
    </w:r>
    <w:r>
      <w:rPr>
        <w:rFonts w:ascii="Century Gothic" w:eastAsia="Century Gothic" w:hAnsi="Century Gothic" w:cs="Century Gothic"/>
        <w:b/>
        <w:sz w:val="16"/>
      </w:rPr>
      <w:t xml:space="preserve"> </w:t>
    </w:r>
  </w:p>
  <w:p w:rsidR="002010BA" w:rsidRDefault="002010BA">
    <w:pPr>
      <w:spacing w:after="0" w:line="216" w:lineRule="auto"/>
      <w:ind w:left="0" w:right="5416" w:firstLine="0"/>
      <w:jc w:val="left"/>
    </w:pPr>
    <w:r>
      <w:rPr>
        <w:rFonts w:ascii="Century Gothic" w:eastAsia="Century Gothic" w:hAnsi="Century Gothic" w:cs="Century Gothic"/>
        <w:sz w:val="16"/>
      </w:rPr>
      <w:t xml:space="preserve">Budget Office of the Federation / FMFBNP </w:t>
    </w:r>
    <w:r>
      <w:rPr>
        <w:rFonts w:ascii="Century Gothic" w:eastAsia="Century Gothic" w:hAnsi="Century Gothic" w:cs="Century Gothic"/>
        <w:b/>
        <w:sz w:val="16"/>
      </w:rPr>
      <w:t>2021 – 2023 MTEF/FSP</w:t>
    </w:r>
    <w:r>
      <w:rPr>
        <w:rFonts w:ascii="Franklin Gothic Book" w:eastAsia="Franklin Gothic Book" w:hAnsi="Franklin Gothic Book" w:cs="Franklin Gothic Book"/>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0BA" w:rsidRDefault="002010BA">
    <w:pPr>
      <w:spacing w:after="0" w:line="259" w:lineRule="auto"/>
      <w:ind w:left="0" w:right="-8" w:firstLine="0"/>
      <w:jc w:val="right"/>
    </w:pPr>
    <w:r>
      <w:rPr>
        <w:rFonts w:ascii="Century Gothic" w:eastAsia="Century Gothic" w:hAnsi="Century Gothic" w:cs="Century Gothic"/>
        <w:b/>
        <w:sz w:val="16"/>
      </w:rPr>
      <w:fldChar w:fldCharType="begin"/>
    </w:r>
    <w:r>
      <w:rPr>
        <w:rFonts w:ascii="Century Gothic" w:eastAsia="Century Gothic" w:hAnsi="Century Gothic" w:cs="Century Gothic"/>
        <w:b/>
        <w:sz w:val="16"/>
      </w:rPr>
      <w:instrText xml:space="preserve"> PAGE   \* MERGEFORMAT </w:instrText>
    </w:r>
    <w:r>
      <w:rPr>
        <w:rFonts w:ascii="Century Gothic" w:eastAsia="Century Gothic" w:hAnsi="Century Gothic" w:cs="Century Gothic"/>
        <w:b/>
        <w:sz w:val="16"/>
      </w:rPr>
      <w:fldChar w:fldCharType="separate"/>
    </w:r>
    <w:r>
      <w:rPr>
        <w:rFonts w:ascii="Century Gothic" w:eastAsia="Century Gothic" w:hAnsi="Century Gothic" w:cs="Century Gothic"/>
        <w:b/>
        <w:sz w:val="16"/>
      </w:rPr>
      <w:t>1</w:t>
    </w:r>
    <w:r>
      <w:rPr>
        <w:rFonts w:ascii="Century Gothic" w:eastAsia="Century Gothic" w:hAnsi="Century Gothic" w:cs="Century Gothic"/>
        <w:b/>
        <w:sz w:val="16"/>
      </w:rPr>
      <w:fldChar w:fldCharType="end"/>
    </w:r>
    <w:r>
      <w:rPr>
        <w:rFonts w:ascii="Century Gothic" w:eastAsia="Century Gothic" w:hAnsi="Century Gothic" w:cs="Century Gothic"/>
        <w:b/>
        <w:sz w:val="16"/>
      </w:rPr>
      <w:t xml:space="preserve"> </w:t>
    </w:r>
  </w:p>
  <w:p w:rsidR="002010BA" w:rsidRDefault="002010BA">
    <w:pPr>
      <w:spacing w:after="0" w:line="216" w:lineRule="auto"/>
      <w:ind w:left="0" w:right="5416" w:firstLine="0"/>
      <w:jc w:val="left"/>
    </w:pPr>
    <w:r>
      <w:rPr>
        <w:rFonts w:ascii="Century Gothic" w:eastAsia="Century Gothic" w:hAnsi="Century Gothic" w:cs="Century Gothic"/>
        <w:sz w:val="16"/>
      </w:rPr>
      <w:t xml:space="preserve">Budget Office of the Federation / FMFBNP </w:t>
    </w:r>
    <w:r>
      <w:rPr>
        <w:rFonts w:ascii="Century Gothic" w:eastAsia="Century Gothic" w:hAnsi="Century Gothic" w:cs="Century Gothic"/>
        <w:b/>
        <w:sz w:val="16"/>
      </w:rPr>
      <w:t>2021 – 2023 MTEF/FSP</w:t>
    </w:r>
    <w:r>
      <w:rPr>
        <w:rFonts w:ascii="Franklin Gothic Book" w:eastAsia="Franklin Gothic Book" w:hAnsi="Franklin Gothic Book" w:cs="Franklin Gothic Book"/>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0BA" w:rsidRDefault="002010BA">
    <w:pPr>
      <w:spacing w:after="0" w:line="259" w:lineRule="auto"/>
      <w:ind w:left="0" w:right="831" w:firstLine="0"/>
      <w:jc w:val="right"/>
    </w:pPr>
    <w:r>
      <w:rPr>
        <w:rFonts w:ascii="Century Gothic" w:eastAsia="Century Gothic" w:hAnsi="Century Gothic" w:cs="Century Gothic"/>
        <w:b/>
        <w:sz w:val="16"/>
      </w:rPr>
      <w:fldChar w:fldCharType="begin"/>
    </w:r>
    <w:r>
      <w:rPr>
        <w:rFonts w:ascii="Century Gothic" w:eastAsia="Century Gothic" w:hAnsi="Century Gothic" w:cs="Century Gothic"/>
        <w:b/>
        <w:sz w:val="16"/>
      </w:rPr>
      <w:instrText xml:space="preserve"> PAGE   \* MERGEFORMAT </w:instrText>
    </w:r>
    <w:r>
      <w:rPr>
        <w:rFonts w:ascii="Century Gothic" w:eastAsia="Century Gothic" w:hAnsi="Century Gothic" w:cs="Century Gothic"/>
        <w:b/>
        <w:sz w:val="16"/>
      </w:rPr>
      <w:fldChar w:fldCharType="separate"/>
    </w:r>
    <w:r>
      <w:rPr>
        <w:rFonts w:ascii="Century Gothic" w:eastAsia="Century Gothic" w:hAnsi="Century Gothic" w:cs="Century Gothic"/>
        <w:b/>
        <w:sz w:val="16"/>
      </w:rPr>
      <w:t>1</w:t>
    </w:r>
    <w:r>
      <w:rPr>
        <w:rFonts w:ascii="Century Gothic" w:eastAsia="Century Gothic" w:hAnsi="Century Gothic" w:cs="Century Gothic"/>
        <w:b/>
        <w:sz w:val="16"/>
      </w:rPr>
      <w:fldChar w:fldCharType="end"/>
    </w:r>
    <w:r>
      <w:rPr>
        <w:rFonts w:ascii="Century Gothic" w:eastAsia="Century Gothic" w:hAnsi="Century Gothic" w:cs="Century Gothic"/>
        <w:b/>
        <w:sz w:val="16"/>
      </w:rPr>
      <w:t xml:space="preserve"> </w:t>
    </w:r>
  </w:p>
  <w:p w:rsidR="002010BA" w:rsidRDefault="002010BA">
    <w:pPr>
      <w:spacing w:after="0" w:line="216" w:lineRule="auto"/>
      <w:ind w:left="218" w:right="6210" w:firstLine="0"/>
      <w:jc w:val="left"/>
    </w:pPr>
    <w:r>
      <w:rPr>
        <w:rFonts w:ascii="Century Gothic" w:eastAsia="Century Gothic" w:hAnsi="Century Gothic" w:cs="Century Gothic"/>
        <w:sz w:val="16"/>
      </w:rPr>
      <w:t xml:space="preserve">Budget Office of the Federation / FMFBNP </w:t>
    </w:r>
    <w:r>
      <w:rPr>
        <w:rFonts w:ascii="Century Gothic" w:eastAsia="Century Gothic" w:hAnsi="Century Gothic" w:cs="Century Gothic"/>
        <w:b/>
        <w:sz w:val="16"/>
      </w:rPr>
      <w:t>2021 – 2023 MTEF/FSP</w:t>
    </w:r>
    <w:r>
      <w:rPr>
        <w:rFonts w:ascii="Franklin Gothic Book" w:eastAsia="Franklin Gothic Book" w:hAnsi="Franklin Gothic Book" w:cs="Franklin Gothic Book"/>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0BA" w:rsidRDefault="002010BA">
    <w:pPr>
      <w:spacing w:after="0" w:line="259" w:lineRule="auto"/>
      <w:ind w:left="0" w:right="831" w:firstLine="0"/>
      <w:jc w:val="right"/>
    </w:pPr>
    <w:r>
      <w:rPr>
        <w:rFonts w:ascii="Century Gothic" w:eastAsia="Century Gothic" w:hAnsi="Century Gothic" w:cs="Century Gothic"/>
        <w:b/>
        <w:sz w:val="16"/>
      </w:rPr>
      <w:fldChar w:fldCharType="begin"/>
    </w:r>
    <w:r>
      <w:rPr>
        <w:rFonts w:ascii="Century Gothic" w:eastAsia="Century Gothic" w:hAnsi="Century Gothic" w:cs="Century Gothic"/>
        <w:b/>
        <w:sz w:val="16"/>
      </w:rPr>
      <w:instrText xml:space="preserve"> PAGE   \* MERGEFORMAT </w:instrText>
    </w:r>
    <w:r>
      <w:rPr>
        <w:rFonts w:ascii="Century Gothic" w:eastAsia="Century Gothic" w:hAnsi="Century Gothic" w:cs="Century Gothic"/>
        <w:b/>
        <w:sz w:val="16"/>
      </w:rPr>
      <w:fldChar w:fldCharType="separate"/>
    </w:r>
    <w:r>
      <w:rPr>
        <w:rFonts w:ascii="Century Gothic" w:eastAsia="Century Gothic" w:hAnsi="Century Gothic" w:cs="Century Gothic"/>
        <w:b/>
        <w:sz w:val="16"/>
      </w:rPr>
      <w:t>1</w:t>
    </w:r>
    <w:r>
      <w:rPr>
        <w:rFonts w:ascii="Century Gothic" w:eastAsia="Century Gothic" w:hAnsi="Century Gothic" w:cs="Century Gothic"/>
        <w:b/>
        <w:sz w:val="16"/>
      </w:rPr>
      <w:fldChar w:fldCharType="end"/>
    </w:r>
    <w:r>
      <w:rPr>
        <w:rFonts w:ascii="Century Gothic" w:eastAsia="Century Gothic" w:hAnsi="Century Gothic" w:cs="Century Gothic"/>
        <w:b/>
        <w:sz w:val="16"/>
      </w:rPr>
      <w:t xml:space="preserve"> </w:t>
    </w:r>
  </w:p>
  <w:p w:rsidR="002010BA" w:rsidRDefault="002010BA">
    <w:pPr>
      <w:spacing w:after="0" w:line="216" w:lineRule="auto"/>
      <w:ind w:left="218" w:right="6210" w:firstLine="0"/>
      <w:jc w:val="left"/>
    </w:pPr>
    <w:r>
      <w:rPr>
        <w:rFonts w:ascii="Century Gothic" w:eastAsia="Century Gothic" w:hAnsi="Century Gothic" w:cs="Century Gothic"/>
        <w:sz w:val="16"/>
      </w:rPr>
      <w:t xml:space="preserve">Budget Office of the Federation / FMFBNP </w:t>
    </w:r>
    <w:r>
      <w:rPr>
        <w:rFonts w:ascii="Century Gothic" w:eastAsia="Century Gothic" w:hAnsi="Century Gothic" w:cs="Century Gothic"/>
        <w:b/>
        <w:sz w:val="16"/>
      </w:rPr>
      <w:t>2021 – 2023 MTEF/FSP</w:t>
    </w:r>
    <w:r>
      <w:rPr>
        <w:rFonts w:ascii="Franklin Gothic Book" w:eastAsia="Franklin Gothic Book" w:hAnsi="Franklin Gothic Book" w:cs="Franklin Gothic Book"/>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0BA" w:rsidRDefault="002010BA">
    <w:pPr>
      <w:spacing w:after="0" w:line="259" w:lineRule="auto"/>
      <w:ind w:left="0" w:right="831" w:firstLine="0"/>
      <w:jc w:val="right"/>
    </w:pPr>
    <w:r>
      <w:rPr>
        <w:rFonts w:ascii="Century Gothic" w:eastAsia="Century Gothic" w:hAnsi="Century Gothic" w:cs="Century Gothic"/>
        <w:b/>
        <w:sz w:val="16"/>
      </w:rPr>
      <w:fldChar w:fldCharType="begin"/>
    </w:r>
    <w:r>
      <w:rPr>
        <w:rFonts w:ascii="Century Gothic" w:eastAsia="Century Gothic" w:hAnsi="Century Gothic" w:cs="Century Gothic"/>
        <w:b/>
        <w:sz w:val="16"/>
      </w:rPr>
      <w:instrText xml:space="preserve"> PAGE   \* MERGEFORMAT </w:instrText>
    </w:r>
    <w:r>
      <w:rPr>
        <w:rFonts w:ascii="Century Gothic" w:eastAsia="Century Gothic" w:hAnsi="Century Gothic" w:cs="Century Gothic"/>
        <w:b/>
        <w:sz w:val="16"/>
      </w:rPr>
      <w:fldChar w:fldCharType="separate"/>
    </w:r>
    <w:r>
      <w:rPr>
        <w:rFonts w:ascii="Century Gothic" w:eastAsia="Century Gothic" w:hAnsi="Century Gothic" w:cs="Century Gothic"/>
        <w:b/>
        <w:sz w:val="16"/>
      </w:rPr>
      <w:t>1</w:t>
    </w:r>
    <w:r>
      <w:rPr>
        <w:rFonts w:ascii="Century Gothic" w:eastAsia="Century Gothic" w:hAnsi="Century Gothic" w:cs="Century Gothic"/>
        <w:b/>
        <w:sz w:val="16"/>
      </w:rPr>
      <w:fldChar w:fldCharType="end"/>
    </w:r>
    <w:r>
      <w:rPr>
        <w:rFonts w:ascii="Century Gothic" w:eastAsia="Century Gothic" w:hAnsi="Century Gothic" w:cs="Century Gothic"/>
        <w:b/>
        <w:sz w:val="16"/>
      </w:rPr>
      <w:t xml:space="preserve"> </w:t>
    </w:r>
  </w:p>
  <w:p w:rsidR="002010BA" w:rsidRDefault="002010BA">
    <w:pPr>
      <w:spacing w:after="0" w:line="216" w:lineRule="auto"/>
      <w:ind w:left="218" w:right="6210" w:firstLine="0"/>
      <w:jc w:val="left"/>
    </w:pPr>
    <w:r>
      <w:rPr>
        <w:rFonts w:ascii="Century Gothic" w:eastAsia="Century Gothic" w:hAnsi="Century Gothic" w:cs="Century Gothic"/>
        <w:sz w:val="16"/>
      </w:rPr>
      <w:t xml:space="preserve">Budget Office of the Federation / FMFBNP </w:t>
    </w:r>
    <w:r>
      <w:rPr>
        <w:rFonts w:ascii="Century Gothic" w:eastAsia="Century Gothic" w:hAnsi="Century Gothic" w:cs="Century Gothic"/>
        <w:b/>
        <w:sz w:val="16"/>
      </w:rPr>
      <w:t>2021 – 2023 MTEF/FSP</w:t>
    </w:r>
    <w:r>
      <w:rPr>
        <w:rFonts w:ascii="Franklin Gothic Book" w:eastAsia="Franklin Gothic Book" w:hAnsi="Franklin Gothic Book" w:cs="Franklin Gothic Book"/>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3256" w:rsidRDefault="00F13256">
      <w:pPr>
        <w:spacing w:after="0" w:line="240" w:lineRule="auto"/>
      </w:pPr>
      <w:r>
        <w:separator/>
      </w:r>
    </w:p>
  </w:footnote>
  <w:footnote w:type="continuationSeparator" w:id="0">
    <w:p w:rsidR="00F13256" w:rsidRDefault="00F132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244FE"/>
    <w:multiLevelType w:val="hybridMultilevel"/>
    <w:tmpl w:val="EDECFFCE"/>
    <w:lvl w:ilvl="0" w:tplc="0E2605DA">
      <w:start w:val="1"/>
      <w:numFmt w:val="decimal"/>
      <w:lvlText w:val="%1."/>
      <w:lvlJc w:val="left"/>
      <w:pPr>
        <w:ind w:left="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2057E0">
      <w:start w:val="1"/>
      <w:numFmt w:val="lowerLetter"/>
      <w:lvlText w:val="%2"/>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C86D4C">
      <w:start w:val="1"/>
      <w:numFmt w:val="lowerRoman"/>
      <w:lvlText w:val="%3"/>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262536C">
      <w:start w:val="1"/>
      <w:numFmt w:val="decimal"/>
      <w:lvlText w:val="%4"/>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426B30">
      <w:start w:val="1"/>
      <w:numFmt w:val="lowerLetter"/>
      <w:lvlText w:val="%5"/>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E1ABC6C">
      <w:start w:val="1"/>
      <w:numFmt w:val="lowerRoman"/>
      <w:lvlText w:val="%6"/>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3AD036">
      <w:start w:val="1"/>
      <w:numFmt w:val="decimal"/>
      <w:lvlText w:val="%7"/>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AAE306">
      <w:start w:val="1"/>
      <w:numFmt w:val="lowerLetter"/>
      <w:lvlText w:val="%8"/>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684AC10">
      <w:start w:val="1"/>
      <w:numFmt w:val="lowerRoman"/>
      <w:lvlText w:val="%9"/>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D2D2E46"/>
    <w:multiLevelType w:val="hybridMultilevel"/>
    <w:tmpl w:val="EFC88BA0"/>
    <w:lvl w:ilvl="0" w:tplc="DE062F4C">
      <w:start w:val="1"/>
      <w:numFmt w:val="decimal"/>
      <w:lvlText w:val="%1."/>
      <w:lvlJc w:val="left"/>
      <w:pPr>
        <w:ind w:left="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1E2F06">
      <w:start w:val="1"/>
      <w:numFmt w:val="lowerLetter"/>
      <w:lvlText w:val="%2"/>
      <w:lvlJc w:val="left"/>
      <w:pPr>
        <w:ind w:left="1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105108">
      <w:start w:val="1"/>
      <w:numFmt w:val="lowerRoman"/>
      <w:lvlText w:val="%3"/>
      <w:lvlJc w:val="left"/>
      <w:pPr>
        <w:ind w:left="2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F44DEE8">
      <w:start w:val="1"/>
      <w:numFmt w:val="decimal"/>
      <w:lvlText w:val="%4"/>
      <w:lvlJc w:val="left"/>
      <w:pPr>
        <w:ind w:left="2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6A7268">
      <w:start w:val="1"/>
      <w:numFmt w:val="lowerLetter"/>
      <w:lvlText w:val="%5"/>
      <w:lvlJc w:val="left"/>
      <w:pPr>
        <w:ind w:left="3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80C07C">
      <w:start w:val="1"/>
      <w:numFmt w:val="lowerRoman"/>
      <w:lvlText w:val="%6"/>
      <w:lvlJc w:val="left"/>
      <w:pPr>
        <w:ind w:left="4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A84CAC">
      <w:start w:val="1"/>
      <w:numFmt w:val="decimal"/>
      <w:lvlText w:val="%7"/>
      <w:lvlJc w:val="left"/>
      <w:pPr>
        <w:ind w:left="4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5A3000">
      <w:start w:val="1"/>
      <w:numFmt w:val="lowerLetter"/>
      <w:lvlText w:val="%8"/>
      <w:lvlJc w:val="left"/>
      <w:pPr>
        <w:ind w:left="5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805182">
      <w:start w:val="1"/>
      <w:numFmt w:val="lowerRoman"/>
      <w:lvlText w:val="%9"/>
      <w:lvlJc w:val="left"/>
      <w:pPr>
        <w:ind w:left="64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2155583"/>
    <w:multiLevelType w:val="hybridMultilevel"/>
    <w:tmpl w:val="703ACFB0"/>
    <w:lvl w:ilvl="0" w:tplc="3426FA2E">
      <w:start w:val="1"/>
      <w:numFmt w:val="decimal"/>
      <w:lvlText w:val="(%1)"/>
      <w:lvlJc w:val="left"/>
      <w:pPr>
        <w:ind w:left="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72AC6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0A5C4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A4C98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4C7A3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8EA0B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054E5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60C4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DE2A4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A8E7987"/>
    <w:multiLevelType w:val="hybridMultilevel"/>
    <w:tmpl w:val="1B7605AC"/>
    <w:lvl w:ilvl="0" w:tplc="EBF2237E">
      <w:start w:val="1"/>
      <w:numFmt w:val="bullet"/>
      <w:lvlText w:val="•"/>
      <w:lvlJc w:val="left"/>
      <w:pPr>
        <w:ind w:left="9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AC9C3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FB6C02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0ACFD0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7C602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0A52E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B90055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84806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780FCE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1A72F46"/>
    <w:multiLevelType w:val="hybridMultilevel"/>
    <w:tmpl w:val="8CE22A40"/>
    <w:lvl w:ilvl="0" w:tplc="47EA6436">
      <w:start w:val="1"/>
      <w:numFmt w:val="bullet"/>
      <w:lvlText w:val="•"/>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A8083C">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E20A62">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689552">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8AD0D2">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F48FDC">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F22286">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787C1C">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24E872">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5E0266"/>
    <w:multiLevelType w:val="hybridMultilevel"/>
    <w:tmpl w:val="795AE952"/>
    <w:lvl w:ilvl="0" w:tplc="AB186B52">
      <w:start w:val="1"/>
      <w:numFmt w:val="decimal"/>
      <w:lvlText w:val="(%1)"/>
      <w:lvlJc w:val="left"/>
      <w:pPr>
        <w:ind w:left="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2845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5EC6C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D2264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E6E96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F8A78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A80D1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1A610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E1A2F3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B6D350D"/>
    <w:multiLevelType w:val="hybridMultilevel"/>
    <w:tmpl w:val="F4A280BC"/>
    <w:lvl w:ilvl="0" w:tplc="4ED2621A">
      <w:start w:val="1"/>
      <w:numFmt w:val="lowerRoman"/>
      <w:lvlText w:val="%1."/>
      <w:lvlJc w:val="left"/>
      <w:pPr>
        <w:ind w:left="14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98173E">
      <w:start w:val="1"/>
      <w:numFmt w:val="lowerLetter"/>
      <w:lvlText w:val="%2"/>
      <w:lvlJc w:val="left"/>
      <w:pPr>
        <w:ind w:left="1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CE5E20">
      <w:start w:val="1"/>
      <w:numFmt w:val="lowerRoman"/>
      <w:lvlText w:val="%3"/>
      <w:lvlJc w:val="left"/>
      <w:pPr>
        <w:ind w:left="25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86ED8C">
      <w:start w:val="1"/>
      <w:numFmt w:val="decimal"/>
      <w:lvlText w:val="%4"/>
      <w:lvlJc w:val="left"/>
      <w:pPr>
        <w:ind w:left="3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BA7AFA">
      <w:start w:val="1"/>
      <w:numFmt w:val="lowerLetter"/>
      <w:lvlText w:val="%5"/>
      <w:lvlJc w:val="left"/>
      <w:pPr>
        <w:ind w:left="4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3E44E84">
      <w:start w:val="1"/>
      <w:numFmt w:val="lowerRoman"/>
      <w:lvlText w:val="%6"/>
      <w:lvlJc w:val="left"/>
      <w:pPr>
        <w:ind w:left="47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EE83B86">
      <w:start w:val="1"/>
      <w:numFmt w:val="decimal"/>
      <w:lvlText w:val="%7"/>
      <w:lvlJc w:val="left"/>
      <w:pPr>
        <w:ind w:left="54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44B03E">
      <w:start w:val="1"/>
      <w:numFmt w:val="lowerLetter"/>
      <w:lvlText w:val="%8"/>
      <w:lvlJc w:val="left"/>
      <w:pPr>
        <w:ind w:left="61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5C9EAA">
      <w:start w:val="1"/>
      <w:numFmt w:val="lowerRoman"/>
      <w:lvlText w:val="%9"/>
      <w:lvlJc w:val="left"/>
      <w:pPr>
        <w:ind w:left="69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D223334"/>
    <w:multiLevelType w:val="hybridMultilevel"/>
    <w:tmpl w:val="3DC65252"/>
    <w:lvl w:ilvl="0" w:tplc="6B1C835C">
      <w:start w:val="1"/>
      <w:numFmt w:val="lowerRoman"/>
      <w:lvlText w:val="%1."/>
      <w:lvlJc w:val="left"/>
      <w:pPr>
        <w:ind w:left="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4CB174">
      <w:start w:val="1"/>
      <w:numFmt w:val="bullet"/>
      <w:lvlText w:val="•"/>
      <w:lvlJc w:val="left"/>
      <w:pPr>
        <w:ind w:left="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0D8D596">
      <w:start w:val="1"/>
      <w:numFmt w:val="bullet"/>
      <w:lvlText w:val="▪"/>
      <w:lvlJc w:val="left"/>
      <w:pPr>
        <w:ind w:left="16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7AC000">
      <w:start w:val="1"/>
      <w:numFmt w:val="bullet"/>
      <w:lvlText w:val="•"/>
      <w:lvlJc w:val="left"/>
      <w:pPr>
        <w:ind w:left="23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26A774">
      <w:start w:val="1"/>
      <w:numFmt w:val="bullet"/>
      <w:lvlText w:val="o"/>
      <w:lvlJc w:val="left"/>
      <w:pPr>
        <w:ind w:left="30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1E7CE4">
      <w:start w:val="1"/>
      <w:numFmt w:val="bullet"/>
      <w:lvlText w:val="▪"/>
      <w:lvlJc w:val="left"/>
      <w:pPr>
        <w:ind w:left="37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3CBB36">
      <w:start w:val="1"/>
      <w:numFmt w:val="bullet"/>
      <w:lvlText w:val="•"/>
      <w:lvlJc w:val="left"/>
      <w:pPr>
        <w:ind w:left="45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AE0D96">
      <w:start w:val="1"/>
      <w:numFmt w:val="bullet"/>
      <w:lvlText w:val="o"/>
      <w:lvlJc w:val="left"/>
      <w:pPr>
        <w:ind w:left="5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B6500E">
      <w:start w:val="1"/>
      <w:numFmt w:val="bullet"/>
      <w:lvlText w:val="▪"/>
      <w:lvlJc w:val="left"/>
      <w:pPr>
        <w:ind w:left="59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131708F"/>
    <w:multiLevelType w:val="hybridMultilevel"/>
    <w:tmpl w:val="BD7E0264"/>
    <w:lvl w:ilvl="0" w:tplc="0704994E">
      <w:start w:val="1"/>
      <w:numFmt w:val="lowerRoman"/>
      <w:lvlText w:val="%1."/>
      <w:lvlJc w:val="left"/>
      <w:pPr>
        <w:ind w:left="14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6A53C4">
      <w:start w:val="1"/>
      <w:numFmt w:val="lowerLetter"/>
      <w:lvlText w:val="%2"/>
      <w:lvlJc w:val="left"/>
      <w:pPr>
        <w:ind w:left="1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461A32">
      <w:start w:val="1"/>
      <w:numFmt w:val="lowerRoman"/>
      <w:lvlText w:val="%3"/>
      <w:lvlJc w:val="left"/>
      <w:pPr>
        <w:ind w:left="2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74766C">
      <w:start w:val="1"/>
      <w:numFmt w:val="decimal"/>
      <w:lvlText w:val="%4"/>
      <w:lvlJc w:val="left"/>
      <w:pPr>
        <w:ind w:left="3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C2E26E">
      <w:start w:val="1"/>
      <w:numFmt w:val="lowerLetter"/>
      <w:lvlText w:val="%5"/>
      <w:lvlJc w:val="left"/>
      <w:pPr>
        <w:ind w:left="4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0B2917E">
      <w:start w:val="1"/>
      <w:numFmt w:val="lowerRoman"/>
      <w:lvlText w:val="%6"/>
      <w:lvlJc w:val="left"/>
      <w:pPr>
        <w:ind w:left="47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D9667B0">
      <w:start w:val="1"/>
      <w:numFmt w:val="decimal"/>
      <w:lvlText w:val="%7"/>
      <w:lvlJc w:val="left"/>
      <w:pPr>
        <w:ind w:left="5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3EB8F0">
      <w:start w:val="1"/>
      <w:numFmt w:val="lowerLetter"/>
      <w:lvlText w:val="%8"/>
      <w:lvlJc w:val="left"/>
      <w:pPr>
        <w:ind w:left="6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CE08A0C">
      <w:start w:val="1"/>
      <w:numFmt w:val="lowerRoman"/>
      <w:lvlText w:val="%9"/>
      <w:lvlJc w:val="left"/>
      <w:pPr>
        <w:ind w:left="69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16A722E"/>
    <w:multiLevelType w:val="hybridMultilevel"/>
    <w:tmpl w:val="1E947272"/>
    <w:lvl w:ilvl="0" w:tplc="E0B8B4A8">
      <w:start w:val="1"/>
      <w:numFmt w:val="bullet"/>
      <w:lvlText w:val="•"/>
      <w:lvlJc w:val="left"/>
      <w:pPr>
        <w:ind w:left="9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FEF1D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C04B29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88D83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728EE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9ACDC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7E2D9E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D8ECE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A1CC8F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45A1C58"/>
    <w:multiLevelType w:val="hybridMultilevel"/>
    <w:tmpl w:val="0426906A"/>
    <w:lvl w:ilvl="0" w:tplc="DAE64950">
      <w:start w:val="1"/>
      <w:numFmt w:val="decimal"/>
      <w:lvlText w:val="%1"/>
      <w:lvlJc w:val="left"/>
      <w:pPr>
        <w:ind w:left="7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0DBC3E22">
      <w:start w:val="1"/>
      <w:numFmt w:val="lowerLetter"/>
      <w:lvlText w:val="%2"/>
      <w:lvlJc w:val="left"/>
      <w:pPr>
        <w:ind w:left="136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2188CC68">
      <w:start w:val="1"/>
      <w:numFmt w:val="lowerRoman"/>
      <w:lvlText w:val="%3"/>
      <w:lvlJc w:val="left"/>
      <w:pPr>
        <w:ind w:left="208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56020E9E">
      <w:start w:val="1"/>
      <w:numFmt w:val="decimal"/>
      <w:lvlText w:val="%4"/>
      <w:lvlJc w:val="left"/>
      <w:pPr>
        <w:ind w:left="280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31BA1B42">
      <w:start w:val="1"/>
      <w:numFmt w:val="lowerLetter"/>
      <w:lvlText w:val="%5"/>
      <w:lvlJc w:val="left"/>
      <w:pPr>
        <w:ind w:left="352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173A93EA">
      <w:start w:val="1"/>
      <w:numFmt w:val="lowerRoman"/>
      <w:lvlText w:val="%6"/>
      <w:lvlJc w:val="left"/>
      <w:pPr>
        <w:ind w:left="424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13588FEC">
      <w:start w:val="1"/>
      <w:numFmt w:val="decimal"/>
      <w:lvlText w:val="%7"/>
      <w:lvlJc w:val="left"/>
      <w:pPr>
        <w:ind w:left="496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F320A58A">
      <w:start w:val="1"/>
      <w:numFmt w:val="lowerLetter"/>
      <w:lvlText w:val="%8"/>
      <w:lvlJc w:val="left"/>
      <w:pPr>
        <w:ind w:left="568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22403548">
      <w:start w:val="1"/>
      <w:numFmt w:val="lowerRoman"/>
      <w:lvlText w:val="%9"/>
      <w:lvlJc w:val="left"/>
      <w:pPr>
        <w:ind w:left="6403"/>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ADE099D"/>
    <w:multiLevelType w:val="hybridMultilevel"/>
    <w:tmpl w:val="FC4C7E76"/>
    <w:lvl w:ilvl="0" w:tplc="D83AB862">
      <w:start w:val="1"/>
      <w:numFmt w:val="bullet"/>
      <w:lvlText w:val="•"/>
      <w:lvlJc w:val="left"/>
      <w:pPr>
        <w:ind w:left="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E8392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98A85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987D0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9AA4AC">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C4CA31E">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1DE51A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98D732">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52779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E704221"/>
    <w:multiLevelType w:val="hybridMultilevel"/>
    <w:tmpl w:val="396A1428"/>
    <w:lvl w:ilvl="0" w:tplc="900460B0">
      <w:start w:val="1"/>
      <w:numFmt w:val="bullet"/>
      <w:lvlText w:val="•"/>
      <w:lvlJc w:val="left"/>
      <w:pPr>
        <w:ind w:left="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08AF5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7E82A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363C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C243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3497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EED43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62800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A46EB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5D31CC5"/>
    <w:multiLevelType w:val="hybridMultilevel"/>
    <w:tmpl w:val="CCB844A8"/>
    <w:lvl w:ilvl="0" w:tplc="6F66254A">
      <w:start w:val="1"/>
      <w:numFmt w:val="decimal"/>
      <w:lvlText w:val="(%1)"/>
      <w:lvlJc w:val="left"/>
      <w:pPr>
        <w:ind w:left="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247A42">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65E7CB4">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8E61F4">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82A71E">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E4EE93C">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7827528">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16AEC8">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4C5248">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F966225"/>
    <w:multiLevelType w:val="hybridMultilevel"/>
    <w:tmpl w:val="CD8E3CE6"/>
    <w:lvl w:ilvl="0" w:tplc="A41AEA14">
      <w:start w:val="1"/>
      <w:numFmt w:val="decimal"/>
      <w:lvlText w:val="%1."/>
      <w:lvlJc w:val="left"/>
      <w:pPr>
        <w:ind w:left="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D2836C">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AA74CC">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118B058">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6A5FDE">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6EF67C">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AE12C6">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066FA8">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6AA876">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0"/>
  </w:num>
  <w:num w:numId="3">
    <w:abstractNumId w:val="8"/>
  </w:num>
  <w:num w:numId="4">
    <w:abstractNumId w:val="6"/>
  </w:num>
  <w:num w:numId="5">
    <w:abstractNumId w:val="7"/>
  </w:num>
  <w:num w:numId="6">
    <w:abstractNumId w:val="12"/>
  </w:num>
  <w:num w:numId="7">
    <w:abstractNumId w:val="14"/>
  </w:num>
  <w:num w:numId="8">
    <w:abstractNumId w:val="3"/>
  </w:num>
  <w:num w:numId="9">
    <w:abstractNumId w:val="10"/>
  </w:num>
  <w:num w:numId="10">
    <w:abstractNumId w:val="9"/>
  </w:num>
  <w:num w:numId="11">
    <w:abstractNumId w:val="5"/>
  </w:num>
  <w:num w:numId="12">
    <w:abstractNumId w:val="2"/>
  </w:num>
  <w:num w:numId="13">
    <w:abstractNumId w:val="13"/>
  </w:num>
  <w:num w:numId="14">
    <w:abstractNumId w:val="1"/>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82A"/>
    <w:rsid w:val="000028E3"/>
    <w:rsid w:val="000F12D5"/>
    <w:rsid w:val="000F2CE9"/>
    <w:rsid w:val="001A454C"/>
    <w:rsid w:val="001C16A5"/>
    <w:rsid w:val="001C682A"/>
    <w:rsid w:val="001D1C68"/>
    <w:rsid w:val="002010BA"/>
    <w:rsid w:val="00302B26"/>
    <w:rsid w:val="0034406F"/>
    <w:rsid w:val="00497F9F"/>
    <w:rsid w:val="004A1AD3"/>
    <w:rsid w:val="004E284B"/>
    <w:rsid w:val="00544E27"/>
    <w:rsid w:val="005C099E"/>
    <w:rsid w:val="00680BB6"/>
    <w:rsid w:val="00742B5E"/>
    <w:rsid w:val="008748B1"/>
    <w:rsid w:val="00A55D2B"/>
    <w:rsid w:val="00B03C38"/>
    <w:rsid w:val="00D74D95"/>
    <w:rsid w:val="00DB5104"/>
    <w:rsid w:val="00DE198B"/>
    <w:rsid w:val="00E66F6B"/>
    <w:rsid w:val="00E97547"/>
    <w:rsid w:val="00F13256"/>
    <w:rsid w:val="00FA7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ED3AE"/>
  <w15:docId w15:val="{2198650A-F896-456C-A5B3-EA86E3D79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71" w:lineRule="auto"/>
      <w:ind w:left="10"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3" w:line="264" w:lineRule="auto"/>
      <w:ind w:left="228" w:hanging="10"/>
      <w:outlineLvl w:val="0"/>
    </w:pPr>
    <w:rPr>
      <w:rFonts w:ascii="Century Gothic" w:eastAsia="Century Gothic" w:hAnsi="Century Gothic" w:cs="Century Gothic"/>
      <w:color w:val="000080"/>
      <w:sz w:val="28"/>
    </w:rPr>
  </w:style>
  <w:style w:type="paragraph" w:styleId="Heading2">
    <w:name w:val="heading 2"/>
    <w:next w:val="Normal"/>
    <w:link w:val="Heading2Char"/>
    <w:uiPriority w:val="9"/>
    <w:unhideWhenUsed/>
    <w:qFormat/>
    <w:pPr>
      <w:keepNext/>
      <w:keepLines/>
      <w:spacing w:after="4" w:line="252" w:lineRule="auto"/>
      <w:ind w:left="228" w:hanging="10"/>
      <w:outlineLvl w:val="1"/>
    </w:pPr>
    <w:rPr>
      <w:rFonts w:ascii="Franklin Gothic Book" w:eastAsia="Franklin Gothic Book" w:hAnsi="Franklin Gothic Book" w:cs="Franklin Gothic Book"/>
      <w:color w:val="000000"/>
      <w:sz w:val="28"/>
    </w:rPr>
  </w:style>
  <w:style w:type="paragraph" w:styleId="Heading3">
    <w:name w:val="heading 3"/>
    <w:next w:val="Normal"/>
    <w:link w:val="Heading3Char"/>
    <w:uiPriority w:val="9"/>
    <w:unhideWhenUsed/>
    <w:qFormat/>
    <w:pPr>
      <w:keepNext/>
      <w:keepLines/>
      <w:spacing w:after="3" w:line="264" w:lineRule="auto"/>
      <w:ind w:left="228" w:hanging="10"/>
      <w:outlineLvl w:val="2"/>
    </w:pPr>
    <w:rPr>
      <w:rFonts w:ascii="Century Gothic" w:eastAsia="Century Gothic" w:hAnsi="Century Gothic" w:cs="Century Gothic"/>
      <w:color w:val="000080"/>
      <w:sz w:val="28"/>
    </w:rPr>
  </w:style>
  <w:style w:type="paragraph" w:styleId="Heading4">
    <w:name w:val="heading 4"/>
    <w:next w:val="Normal"/>
    <w:link w:val="Heading4Char"/>
    <w:uiPriority w:val="9"/>
    <w:unhideWhenUsed/>
    <w:qFormat/>
    <w:pPr>
      <w:keepNext/>
      <w:keepLines/>
      <w:spacing w:after="3" w:line="264" w:lineRule="auto"/>
      <w:ind w:left="228" w:hanging="10"/>
      <w:outlineLvl w:val="3"/>
    </w:pPr>
    <w:rPr>
      <w:rFonts w:ascii="Century Gothic" w:eastAsia="Century Gothic" w:hAnsi="Century Gothic" w:cs="Century Gothic"/>
      <w:color w:val="000080"/>
      <w:sz w:val="28"/>
    </w:rPr>
  </w:style>
  <w:style w:type="paragraph" w:styleId="Heading5">
    <w:name w:val="heading 5"/>
    <w:next w:val="Normal"/>
    <w:link w:val="Heading5Char"/>
    <w:uiPriority w:val="9"/>
    <w:unhideWhenUsed/>
    <w:qFormat/>
    <w:pPr>
      <w:keepNext/>
      <w:keepLines/>
      <w:spacing w:after="3" w:line="264" w:lineRule="auto"/>
      <w:ind w:left="228" w:hanging="10"/>
      <w:outlineLvl w:val="4"/>
    </w:pPr>
    <w:rPr>
      <w:rFonts w:ascii="Century Gothic" w:eastAsia="Century Gothic" w:hAnsi="Century Gothic" w:cs="Century Gothic"/>
      <w:color w:val="000080"/>
      <w:sz w:val="28"/>
    </w:rPr>
  </w:style>
  <w:style w:type="paragraph" w:styleId="Heading6">
    <w:name w:val="heading 6"/>
    <w:next w:val="Normal"/>
    <w:link w:val="Heading6Char"/>
    <w:uiPriority w:val="9"/>
    <w:unhideWhenUsed/>
    <w:qFormat/>
    <w:pPr>
      <w:keepNext/>
      <w:keepLines/>
      <w:spacing w:after="4" w:line="252" w:lineRule="auto"/>
      <w:ind w:left="228" w:hanging="10"/>
      <w:outlineLvl w:val="5"/>
    </w:pPr>
    <w:rPr>
      <w:rFonts w:ascii="Franklin Gothic Book" w:eastAsia="Franklin Gothic Book" w:hAnsi="Franklin Gothic Book" w:cs="Franklin Gothic Book"/>
      <w:color w:val="000000"/>
      <w:sz w:val="28"/>
    </w:rPr>
  </w:style>
  <w:style w:type="paragraph" w:styleId="Heading7">
    <w:name w:val="heading 7"/>
    <w:next w:val="Normal"/>
    <w:link w:val="Heading7Char"/>
    <w:uiPriority w:val="9"/>
    <w:unhideWhenUsed/>
    <w:qFormat/>
    <w:pPr>
      <w:keepNext/>
      <w:keepLines/>
      <w:spacing w:after="3" w:line="264" w:lineRule="auto"/>
      <w:ind w:left="228" w:hanging="10"/>
      <w:outlineLvl w:val="6"/>
    </w:pPr>
    <w:rPr>
      <w:rFonts w:ascii="Century Gothic" w:eastAsia="Century Gothic" w:hAnsi="Century Gothic" w:cs="Century Gothic"/>
      <w:color w:val="000080"/>
      <w:sz w:val="28"/>
    </w:rPr>
  </w:style>
  <w:style w:type="paragraph" w:styleId="Heading8">
    <w:name w:val="heading 8"/>
    <w:next w:val="Normal"/>
    <w:link w:val="Heading8Char"/>
    <w:uiPriority w:val="9"/>
    <w:unhideWhenUsed/>
    <w:qFormat/>
    <w:pPr>
      <w:keepNext/>
      <w:keepLines/>
      <w:spacing w:after="3" w:line="264" w:lineRule="auto"/>
      <w:ind w:left="228" w:hanging="10"/>
      <w:outlineLvl w:val="7"/>
    </w:pPr>
    <w:rPr>
      <w:rFonts w:ascii="Century Gothic" w:eastAsia="Century Gothic" w:hAnsi="Century Gothic" w:cs="Century Gothic"/>
      <w:color w:val="000080"/>
      <w:sz w:val="28"/>
    </w:rPr>
  </w:style>
  <w:style w:type="paragraph" w:styleId="Heading9">
    <w:name w:val="heading 9"/>
    <w:next w:val="Normal"/>
    <w:link w:val="Heading9Char"/>
    <w:uiPriority w:val="9"/>
    <w:unhideWhenUsed/>
    <w:qFormat/>
    <w:pPr>
      <w:keepNext/>
      <w:keepLines/>
      <w:spacing w:after="235"/>
      <w:ind w:left="228" w:hanging="10"/>
      <w:outlineLvl w:val="8"/>
    </w:pPr>
    <w:rPr>
      <w:rFonts w:ascii="Arial" w:eastAsia="Arial" w:hAnsi="Arial" w:cs="Arial"/>
      <w:i/>
      <w:color w:val="2F549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Franklin Gothic Book" w:eastAsia="Franklin Gothic Book" w:hAnsi="Franklin Gothic Book" w:cs="Franklin Gothic Book"/>
      <w:color w:val="000000"/>
      <w:sz w:val="28"/>
    </w:rPr>
  </w:style>
  <w:style w:type="character" w:customStyle="1" w:styleId="Heading9Char">
    <w:name w:val="Heading 9 Char"/>
    <w:link w:val="Heading9"/>
    <w:rPr>
      <w:rFonts w:ascii="Arial" w:eastAsia="Arial" w:hAnsi="Arial" w:cs="Arial"/>
      <w:i/>
      <w:color w:val="2F5496"/>
      <w:sz w:val="24"/>
    </w:rPr>
  </w:style>
  <w:style w:type="character" w:customStyle="1" w:styleId="Heading7Char">
    <w:name w:val="Heading 7 Char"/>
    <w:link w:val="Heading7"/>
    <w:rPr>
      <w:rFonts w:ascii="Century Gothic" w:eastAsia="Century Gothic" w:hAnsi="Century Gothic" w:cs="Century Gothic"/>
      <w:color w:val="000080"/>
      <w:sz w:val="28"/>
    </w:rPr>
  </w:style>
  <w:style w:type="character" w:customStyle="1" w:styleId="Heading8Char">
    <w:name w:val="Heading 8 Char"/>
    <w:link w:val="Heading8"/>
    <w:rPr>
      <w:rFonts w:ascii="Century Gothic" w:eastAsia="Century Gothic" w:hAnsi="Century Gothic" w:cs="Century Gothic"/>
      <w:color w:val="000080"/>
      <w:sz w:val="28"/>
    </w:rPr>
  </w:style>
  <w:style w:type="character" w:customStyle="1" w:styleId="Heading1Char">
    <w:name w:val="Heading 1 Char"/>
    <w:link w:val="Heading1"/>
    <w:rPr>
      <w:rFonts w:ascii="Century Gothic" w:eastAsia="Century Gothic" w:hAnsi="Century Gothic" w:cs="Century Gothic"/>
      <w:color w:val="000080"/>
      <w:sz w:val="28"/>
    </w:rPr>
  </w:style>
  <w:style w:type="character" w:customStyle="1" w:styleId="Heading2Char">
    <w:name w:val="Heading 2 Char"/>
    <w:link w:val="Heading2"/>
    <w:rPr>
      <w:rFonts w:ascii="Franklin Gothic Book" w:eastAsia="Franklin Gothic Book" w:hAnsi="Franklin Gothic Book" w:cs="Franklin Gothic Book"/>
      <w:color w:val="000000"/>
      <w:sz w:val="28"/>
    </w:rPr>
  </w:style>
  <w:style w:type="character" w:customStyle="1" w:styleId="Heading3Char">
    <w:name w:val="Heading 3 Char"/>
    <w:link w:val="Heading3"/>
    <w:rPr>
      <w:rFonts w:ascii="Century Gothic" w:eastAsia="Century Gothic" w:hAnsi="Century Gothic" w:cs="Century Gothic"/>
      <w:color w:val="000080"/>
      <w:sz w:val="28"/>
    </w:rPr>
  </w:style>
  <w:style w:type="character" w:customStyle="1" w:styleId="Heading4Char">
    <w:name w:val="Heading 4 Char"/>
    <w:link w:val="Heading4"/>
    <w:rPr>
      <w:rFonts w:ascii="Century Gothic" w:eastAsia="Century Gothic" w:hAnsi="Century Gothic" w:cs="Century Gothic"/>
      <w:color w:val="000080"/>
      <w:sz w:val="28"/>
    </w:rPr>
  </w:style>
  <w:style w:type="character" w:customStyle="1" w:styleId="Heading5Char">
    <w:name w:val="Heading 5 Char"/>
    <w:link w:val="Heading5"/>
    <w:rPr>
      <w:rFonts w:ascii="Century Gothic" w:eastAsia="Century Gothic" w:hAnsi="Century Gothic" w:cs="Century Gothic"/>
      <w:color w:val="000080"/>
      <w:sz w:val="28"/>
    </w:rPr>
  </w:style>
  <w:style w:type="paragraph" w:styleId="TOC1">
    <w:name w:val="toc 1"/>
    <w:hidden/>
    <w:pPr>
      <w:spacing w:after="93"/>
      <w:ind w:left="25" w:right="18" w:hanging="10"/>
    </w:pPr>
    <w:rPr>
      <w:rFonts w:ascii="Calibri" w:eastAsia="Calibri" w:hAnsi="Calibri" w:cs="Calibri"/>
      <w:b/>
      <w:i/>
      <w:color w:val="000000"/>
      <w:sz w:val="24"/>
    </w:rPr>
  </w:style>
  <w:style w:type="paragraph" w:styleId="TOC2">
    <w:name w:val="toc 2"/>
    <w:hidden/>
    <w:pPr>
      <w:spacing w:after="93"/>
      <w:ind w:left="25" w:right="26" w:hanging="10"/>
    </w:pPr>
    <w:rPr>
      <w:rFonts w:ascii="Calibri" w:eastAsia="Calibri" w:hAnsi="Calibri" w:cs="Calibri"/>
      <w:b/>
      <w:i/>
      <w:color w:val="000000"/>
      <w:sz w:val="24"/>
    </w:rPr>
  </w:style>
  <w:style w:type="paragraph" w:styleId="TOC3">
    <w:name w:val="toc 3"/>
    <w:hidden/>
    <w:pPr>
      <w:spacing w:after="0"/>
      <w:ind w:left="265" w:right="26" w:hanging="10"/>
    </w:pPr>
    <w:rPr>
      <w:rFonts w:ascii="Calibri" w:eastAsia="Calibri" w:hAnsi="Calibri" w:cs="Calibri"/>
      <w:b/>
      <w:color w:val="000000"/>
    </w:rPr>
  </w:style>
  <w:style w:type="paragraph" w:styleId="TOC4">
    <w:name w:val="toc 4"/>
    <w:hidden/>
    <w:pPr>
      <w:spacing w:after="11" w:line="250" w:lineRule="auto"/>
      <w:ind w:left="505" w:right="22" w:hanging="10"/>
    </w:pPr>
    <w:rPr>
      <w:rFonts w:ascii="Calibri" w:eastAsia="Calibri" w:hAnsi="Calibri" w:cs="Calibri"/>
      <w:color w:val="000000"/>
      <w:sz w:val="20"/>
    </w:rPr>
  </w:style>
  <w:style w:type="paragraph" w:styleId="TOC5">
    <w:name w:val="toc 5"/>
    <w:hidden/>
    <w:pPr>
      <w:spacing w:after="11" w:line="250" w:lineRule="auto"/>
      <w:ind w:left="730" w:right="22" w:hanging="10"/>
    </w:pPr>
    <w:rPr>
      <w:rFonts w:ascii="Calibri" w:eastAsia="Calibri" w:hAnsi="Calibri" w:cs="Calibr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B03C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3C38"/>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udgetoffice.gov,ng/"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dgetoffice.gov,ng/"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www.budgetoffice.gov,ng/"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F8217-DEF6-4546-83FF-21C5C951C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79</Pages>
  <Words>30131</Words>
  <Characters>171750</Characters>
  <Application>Microsoft Office Word</Application>
  <DocSecurity>0</DocSecurity>
  <Lines>1431</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Budget Office of the Federation</dc:creator>
  <cp:keywords/>
  <cp:lastModifiedBy>SOKOTO STATE IPSAS</cp:lastModifiedBy>
  <cp:revision>7</cp:revision>
  <dcterms:created xsi:type="dcterms:W3CDTF">2020-08-29T12:20:00Z</dcterms:created>
  <dcterms:modified xsi:type="dcterms:W3CDTF">2020-09-07T18:44:00Z</dcterms:modified>
</cp:coreProperties>
</file>